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FFE0F" w14:textId="72CD4454" w:rsidR="00AA3FC3" w:rsidRDefault="004B6AB9" w:rsidP="004B6AB9">
      <w:pPr>
        <w:spacing w:after="0"/>
        <w:jc w:val="center"/>
        <w:rPr>
          <w:b/>
          <w:bCs/>
          <w:sz w:val="36"/>
          <w:szCs w:val="36"/>
          <w:u w:val="single"/>
        </w:rPr>
      </w:pPr>
      <w:r>
        <w:rPr>
          <w:b/>
          <w:bCs/>
          <w:sz w:val="36"/>
          <w:szCs w:val="36"/>
          <w:u w:val="single"/>
        </w:rPr>
        <w:t>WBCIR:</w:t>
      </w:r>
      <w:r w:rsidR="00AA3FC3">
        <w:rPr>
          <w:b/>
          <w:bCs/>
          <w:sz w:val="36"/>
          <w:szCs w:val="36"/>
          <w:u w:val="single"/>
        </w:rPr>
        <w:t>14776</w:t>
      </w:r>
    </w:p>
    <w:p w14:paraId="554E64AE" w14:textId="77777777" w:rsidR="00552F60" w:rsidRDefault="00552F60" w:rsidP="00BA64F1">
      <w:pPr>
        <w:spacing w:after="0"/>
        <w:rPr>
          <w:sz w:val="24"/>
          <w:szCs w:val="24"/>
        </w:rPr>
      </w:pPr>
    </w:p>
    <w:p w14:paraId="4DBCCCEA" w14:textId="77777777" w:rsidR="00BA64F1" w:rsidRPr="00C66259" w:rsidRDefault="00AA3FC3" w:rsidP="00BA64F1">
      <w:pPr>
        <w:spacing w:after="0"/>
      </w:pPr>
      <w:r w:rsidRPr="00C66259">
        <w:t>Under the Freedom of Information Act, I would like to request the following information regarding spending and contracts for older person’s social services (aged 65 and over).</w:t>
      </w:r>
      <w:r w:rsidRPr="00C66259">
        <w:br/>
      </w:r>
      <w:r w:rsidRPr="00C66259">
        <w:br/>
        <w:t>1. Does the Local Authority operate a usual cost of care for older person’s social services? By usual cost of care, we mean set weekly fee rates that the Local Authority pays to care providers for older people’s residential, residential EMI, nursing, and nursing EMI care.</w:t>
      </w:r>
    </w:p>
    <w:p w14:paraId="0CB430D3" w14:textId="61C51270" w:rsidR="00BA64F1" w:rsidRPr="004B6AB9" w:rsidRDefault="00BA64F1" w:rsidP="00BA64F1">
      <w:pPr>
        <w:rPr>
          <w:color w:val="2F5496" w:themeColor="accent1" w:themeShade="BF"/>
        </w:rPr>
      </w:pPr>
      <w:r w:rsidRPr="004B6AB9">
        <w:rPr>
          <w:color w:val="2F5496" w:themeColor="accent1" w:themeShade="BF"/>
        </w:rPr>
        <w:t>No</w:t>
      </w:r>
      <w:r w:rsidR="004B6AB9" w:rsidRPr="004B6AB9">
        <w:rPr>
          <w:color w:val="2F5496" w:themeColor="accent1" w:themeShade="BF"/>
        </w:rPr>
        <w:t>, w</w:t>
      </w:r>
      <w:r w:rsidRPr="004B6AB9">
        <w:rPr>
          <w:color w:val="2F5496" w:themeColor="accent1" w:themeShade="BF"/>
        </w:rPr>
        <w:t>e do not operate a standard or fixed fee rate but work closely with care homes, and place following an assessment of needs at market rates, determined at time of placement.  All rates would be exclusive of FNC.</w:t>
      </w:r>
    </w:p>
    <w:p w14:paraId="5F61C09B" w14:textId="77777777" w:rsidR="00BA64F1" w:rsidRPr="00C66259" w:rsidRDefault="00AA3FC3" w:rsidP="00BA64F1">
      <w:pPr>
        <w:spacing w:after="0"/>
      </w:pPr>
      <w:r w:rsidRPr="00C66259">
        <w:br/>
        <w:t xml:space="preserve">2. If the answer to question 1 is ‘yes’, does the Local Authority have a banding system for fee rates? By ‘banding system’ we mean different levels of fees according to a council’s own criteria </w:t>
      </w:r>
      <w:proofErr w:type="gramStart"/>
      <w:r w:rsidRPr="00C66259">
        <w:t>i.e.</w:t>
      </w:r>
      <w:proofErr w:type="gramEnd"/>
      <w:r w:rsidRPr="00C66259">
        <w:t xml:space="preserve"> quality grades.</w:t>
      </w:r>
      <w:r w:rsidR="00BA64F1" w:rsidRPr="00C66259">
        <w:t xml:space="preserve"> </w:t>
      </w:r>
    </w:p>
    <w:p w14:paraId="272027E2" w14:textId="0D028858" w:rsidR="00BA64F1" w:rsidRPr="00C66259" w:rsidRDefault="004B6AB9" w:rsidP="00BA64F1">
      <w:pPr>
        <w:spacing w:after="0"/>
      </w:pPr>
      <w:r w:rsidRPr="004B6AB9">
        <w:rPr>
          <w:color w:val="2F5496" w:themeColor="accent1" w:themeShade="BF"/>
        </w:rPr>
        <w:t>Not applicable</w:t>
      </w:r>
      <w:r w:rsidR="00AA3FC3" w:rsidRPr="00C66259">
        <w:br/>
      </w:r>
      <w:r w:rsidR="00AA3FC3" w:rsidRPr="00C66259">
        <w:br/>
        <w:t>3. If the answer to question 2 is ‘no’, please provide the Local Authority’s own set weekly fee rates for 2021/22 for:</w:t>
      </w:r>
      <w:r w:rsidR="00AA3FC3" w:rsidRPr="00C66259">
        <w:br/>
        <w:t>a) Older person’s residential</w:t>
      </w:r>
      <w:r w:rsidR="00AA3FC3" w:rsidRPr="00C66259">
        <w:br/>
        <w:t>b) Older person’s residential EMI</w:t>
      </w:r>
      <w:r w:rsidR="00AA3FC3" w:rsidRPr="00C66259">
        <w:br/>
        <w:t>c) Older person’s nursing</w:t>
      </w:r>
      <w:r w:rsidR="00AA3FC3" w:rsidRPr="00C66259">
        <w:br/>
        <w:t xml:space="preserve">d) </w:t>
      </w:r>
      <w:proofErr w:type="gramStart"/>
      <w:r w:rsidR="00AA3FC3" w:rsidRPr="00C66259">
        <w:t>Older</w:t>
      </w:r>
      <w:proofErr w:type="gramEnd"/>
      <w:r w:rsidR="00AA3FC3" w:rsidRPr="00C66259">
        <w:t xml:space="preserve"> person’s nursing EMI</w:t>
      </w:r>
    </w:p>
    <w:p w14:paraId="52F9E440" w14:textId="17A6D8AE" w:rsidR="00BA64F1" w:rsidRPr="004B6AB9" w:rsidRDefault="00BA64F1" w:rsidP="00BA64F1">
      <w:pPr>
        <w:spacing w:after="0"/>
        <w:rPr>
          <w:color w:val="2F5496" w:themeColor="accent1" w:themeShade="BF"/>
        </w:rPr>
      </w:pPr>
      <w:r w:rsidRPr="004B6AB9">
        <w:rPr>
          <w:color w:val="2F5496" w:themeColor="accent1" w:themeShade="BF"/>
        </w:rPr>
        <w:t>We do not operate a standard or fixed fee rate but work closely with care homes, and place following an assessment of needs at market rates, determined at time of placement.  All rates would be exclusive of FNC.</w:t>
      </w:r>
    </w:p>
    <w:p w14:paraId="1071F0D7" w14:textId="77777777" w:rsidR="00BA64F1" w:rsidRPr="00C66259" w:rsidRDefault="00BA64F1"/>
    <w:p w14:paraId="34C558FD" w14:textId="63EE0F9F" w:rsidR="00BA64F1" w:rsidRPr="00C66259" w:rsidRDefault="00AA3FC3" w:rsidP="00BA64F1">
      <w:pPr>
        <w:spacing w:after="0"/>
      </w:pPr>
      <w:r w:rsidRPr="00C66259">
        <w:t>4. If the answer to question 2 is ‘yes’, please provide the Local Authority’s own weekly set fees associated with each band/grade for 2021/22 for:</w:t>
      </w:r>
      <w:r w:rsidRPr="00C66259">
        <w:br/>
        <w:t>a) Older person’s residential</w:t>
      </w:r>
      <w:r w:rsidRPr="00C66259">
        <w:br/>
        <w:t>b) Older person’s residential EMI</w:t>
      </w:r>
      <w:r w:rsidRPr="00C66259">
        <w:br/>
        <w:t>c) Older person’s nursing</w:t>
      </w:r>
      <w:r w:rsidRPr="00C66259">
        <w:br/>
        <w:t>d) Older person’s nursing EMI</w:t>
      </w:r>
    </w:p>
    <w:p w14:paraId="214E5490" w14:textId="2522ACED" w:rsidR="00C66259" w:rsidRPr="00C66259" w:rsidRDefault="004B6AB9" w:rsidP="00C66259">
      <w:pPr>
        <w:rPr>
          <w:color w:val="FF0000"/>
        </w:rPr>
      </w:pPr>
      <w:r w:rsidRPr="004B6AB9">
        <w:rPr>
          <w:color w:val="2F5496" w:themeColor="accent1" w:themeShade="BF"/>
        </w:rPr>
        <w:t>Not applicable</w:t>
      </w:r>
      <w:r w:rsidR="00AA3FC3" w:rsidRPr="00C66259">
        <w:br/>
      </w:r>
      <w:r w:rsidR="00AA3FC3" w:rsidRPr="00C66259">
        <w:br/>
      </w:r>
      <w:r w:rsidR="00C66259" w:rsidRPr="00C66259">
        <w:t>5. Please provide the highest, lowest, average (mean) and median actual weekly fees paid to older person’s care providers in 2021/22</w:t>
      </w:r>
      <w:r w:rsidR="00C66259" w:rsidRPr="00C66259">
        <w:br/>
        <w:t xml:space="preserve">a) Older person’s residential </w:t>
      </w:r>
      <w:r w:rsidRPr="004B6AB9">
        <w:rPr>
          <w:color w:val="2F5496" w:themeColor="accent1" w:themeShade="BF"/>
        </w:rPr>
        <w:t>S</w:t>
      </w:r>
      <w:r w:rsidR="00C66259" w:rsidRPr="004B6AB9">
        <w:rPr>
          <w:color w:val="2F5496" w:themeColor="accent1" w:themeShade="BF"/>
        </w:rPr>
        <w:t>ee below</w:t>
      </w:r>
      <w:r w:rsidR="00C66259" w:rsidRPr="00C66259">
        <w:br/>
        <w:t xml:space="preserve">b) Older person’s residential EMI </w:t>
      </w:r>
      <w:r w:rsidR="00C66259" w:rsidRPr="004B6AB9">
        <w:rPr>
          <w:color w:val="2F5496" w:themeColor="accent1" w:themeShade="BF"/>
        </w:rPr>
        <w:t>We don’t distinguish in a reportable format</w:t>
      </w:r>
      <w:r w:rsidR="00C66259" w:rsidRPr="00C66259">
        <w:br/>
        <w:t xml:space="preserve">c) Older person’s nursing </w:t>
      </w:r>
      <w:r w:rsidRPr="004B6AB9">
        <w:rPr>
          <w:color w:val="2F5496" w:themeColor="accent1" w:themeShade="BF"/>
        </w:rPr>
        <w:t>S</w:t>
      </w:r>
      <w:r w:rsidR="00C66259" w:rsidRPr="004B6AB9">
        <w:rPr>
          <w:color w:val="2F5496" w:themeColor="accent1" w:themeShade="BF"/>
        </w:rPr>
        <w:t>ee below</w:t>
      </w:r>
      <w:r w:rsidR="00C66259" w:rsidRPr="00C66259">
        <w:br/>
        <w:t xml:space="preserve">d) Older person’s nursing EMI </w:t>
      </w:r>
      <w:r w:rsidR="00C66259" w:rsidRPr="004B6AB9">
        <w:rPr>
          <w:color w:val="2F5496" w:themeColor="accent1" w:themeShade="BF"/>
        </w:rPr>
        <w:t>We don’t distinguish in a reportable format</w:t>
      </w:r>
    </w:p>
    <w:tbl>
      <w:tblPr>
        <w:tblStyle w:val="TableGrid"/>
        <w:tblW w:w="0" w:type="auto"/>
        <w:tblLook w:val="04A0" w:firstRow="1" w:lastRow="0" w:firstColumn="1" w:lastColumn="0" w:noHBand="0" w:noVBand="1"/>
      </w:tblPr>
      <w:tblGrid>
        <w:gridCol w:w="2547"/>
        <w:gridCol w:w="1276"/>
        <w:gridCol w:w="1134"/>
        <w:gridCol w:w="1275"/>
        <w:gridCol w:w="1276"/>
      </w:tblGrid>
      <w:tr w:rsidR="00C66259" w:rsidRPr="00C66259" w14:paraId="79B04AEC" w14:textId="77777777" w:rsidTr="004B6AB9">
        <w:trPr>
          <w:trHeight w:val="288"/>
        </w:trPr>
        <w:tc>
          <w:tcPr>
            <w:tcW w:w="2547" w:type="dxa"/>
            <w:noWrap/>
            <w:hideMark/>
          </w:tcPr>
          <w:p w14:paraId="550EDCCC" w14:textId="77777777" w:rsidR="00C66259" w:rsidRPr="004B6AB9" w:rsidRDefault="00C66259" w:rsidP="00357005">
            <w:pPr>
              <w:rPr>
                <w:color w:val="2F5496" w:themeColor="accent1" w:themeShade="BF"/>
              </w:rPr>
            </w:pPr>
            <w:r w:rsidRPr="004B6AB9">
              <w:rPr>
                <w:color w:val="2F5496" w:themeColor="accent1" w:themeShade="BF"/>
              </w:rPr>
              <w:t>TYPE</w:t>
            </w:r>
          </w:p>
        </w:tc>
        <w:tc>
          <w:tcPr>
            <w:tcW w:w="1276" w:type="dxa"/>
            <w:noWrap/>
            <w:hideMark/>
          </w:tcPr>
          <w:p w14:paraId="363958B3" w14:textId="77777777" w:rsidR="00C66259" w:rsidRPr="004B6AB9" w:rsidRDefault="00C66259" w:rsidP="004B6AB9">
            <w:pPr>
              <w:jc w:val="center"/>
              <w:rPr>
                <w:color w:val="2F5496" w:themeColor="accent1" w:themeShade="BF"/>
              </w:rPr>
            </w:pPr>
            <w:r w:rsidRPr="004B6AB9">
              <w:rPr>
                <w:color w:val="2F5496" w:themeColor="accent1" w:themeShade="BF"/>
              </w:rPr>
              <w:t>HIGHEST</w:t>
            </w:r>
          </w:p>
        </w:tc>
        <w:tc>
          <w:tcPr>
            <w:tcW w:w="1134" w:type="dxa"/>
            <w:noWrap/>
            <w:hideMark/>
          </w:tcPr>
          <w:p w14:paraId="510C95A8" w14:textId="77777777" w:rsidR="00C66259" w:rsidRPr="004B6AB9" w:rsidRDefault="00C66259" w:rsidP="004B6AB9">
            <w:pPr>
              <w:jc w:val="center"/>
              <w:rPr>
                <w:color w:val="2F5496" w:themeColor="accent1" w:themeShade="BF"/>
              </w:rPr>
            </w:pPr>
            <w:r w:rsidRPr="004B6AB9">
              <w:rPr>
                <w:color w:val="2F5496" w:themeColor="accent1" w:themeShade="BF"/>
              </w:rPr>
              <w:t>LOWEST</w:t>
            </w:r>
          </w:p>
        </w:tc>
        <w:tc>
          <w:tcPr>
            <w:tcW w:w="1275" w:type="dxa"/>
            <w:noWrap/>
            <w:hideMark/>
          </w:tcPr>
          <w:p w14:paraId="6AD62492" w14:textId="77777777" w:rsidR="00C66259" w:rsidRPr="004B6AB9" w:rsidRDefault="00C66259" w:rsidP="004B6AB9">
            <w:pPr>
              <w:jc w:val="center"/>
              <w:rPr>
                <w:color w:val="2F5496" w:themeColor="accent1" w:themeShade="BF"/>
              </w:rPr>
            </w:pPr>
            <w:r w:rsidRPr="004B6AB9">
              <w:rPr>
                <w:color w:val="2F5496" w:themeColor="accent1" w:themeShade="BF"/>
              </w:rPr>
              <w:t>AVERAGE</w:t>
            </w:r>
          </w:p>
        </w:tc>
        <w:tc>
          <w:tcPr>
            <w:tcW w:w="1276" w:type="dxa"/>
            <w:noWrap/>
            <w:hideMark/>
          </w:tcPr>
          <w:p w14:paraId="3445ED60" w14:textId="77777777" w:rsidR="00C66259" w:rsidRPr="004B6AB9" w:rsidRDefault="00C66259" w:rsidP="004B6AB9">
            <w:pPr>
              <w:jc w:val="center"/>
              <w:rPr>
                <w:color w:val="2F5496" w:themeColor="accent1" w:themeShade="BF"/>
              </w:rPr>
            </w:pPr>
            <w:r w:rsidRPr="004B6AB9">
              <w:rPr>
                <w:color w:val="2F5496" w:themeColor="accent1" w:themeShade="BF"/>
              </w:rPr>
              <w:t>MEDIAN</w:t>
            </w:r>
          </w:p>
        </w:tc>
      </w:tr>
      <w:tr w:rsidR="00C66259" w:rsidRPr="00C66259" w14:paraId="04A4FFD2" w14:textId="77777777" w:rsidTr="004B6AB9">
        <w:trPr>
          <w:trHeight w:val="288"/>
        </w:trPr>
        <w:tc>
          <w:tcPr>
            <w:tcW w:w="2547" w:type="dxa"/>
            <w:noWrap/>
            <w:hideMark/>
          </w:tcPr>
          <w:p w14:paraId="7B3731C6" w14:textId="77777777" w:rsidR="00C66259" w:rsidRPr="004B6AB9" w:rsidRDefault="00C66259" w:rsidP="00357005">
            <w:pPr>
              <w:rPr>
                <w:color w:val="2F5496" w:themeColor="accent1" w:themeShade="BF"/>
              </w:rPr>
            </w:pPr>
            <w:r w:rsidRPr="004B6AB9">
              <w:rPr>
                <w:color w:val="2F5496" w:themeColor="accent1" w:themeShade="BF"/>
              </w:rPr>
              <w:t xml:space="preserve">a) </w:t>
            </w:r>
            <w:proofErr w:type="gramStart"/>
            <w:r w:rsidRPr="004B6AB9">
              <w:rPr>
                <w:color w:val="2F5496" w:themeColor="accent1" w:themeShade="BF"/>
              </w:rPr>
              <w:t>Older</w:t>
            </w:r>
            <w:proofErr w:type="gramEnd"/>
            <w:r w:rsidRPr="004B6AB9">
              <w:rPr>
                <w:color w:val="2F5496" w:themeColor="accent1" w:themeShade="BF"/>
              </w:rPr>
              <w:t xml:space="preserve"> person's residential</w:t>
            </w:r>
          </w:p>
        </w:tc>
        <w:tc>
          <w:tcPr>
            <w:tcW w:w="1276" w:type="dxa"/>
            <w:noWrap/>
            <w:hideMark/>
          </w:tcPr>
          <w:p w14:paraId="0F7D6475" w14:textId="52CF4E16" w:rsidR="00C66259" w:rsidRPr="004B6AB9" w:rsidRDefault="00C66259" w:rsidP="004B6AB9">
            <w:pPr>
              <w:jc w:val="center"/>
              <w:rPr>
                <w:color w:val="2F5496" w:themeColor="accent1" w:themeShade="BF"/>
              </w:rPr>
            </w:pPr>
            <w:r w:rsidRPr="004B6AB9">
              <w:rPr>
                <w:color w:val="2F5496" w:themeColor="accent1" w:themeShade="BF"/>
              </w:rPr>
              <w:t>£ 2,856.00</w:t>
            </w:r>
          </w:p>
        </w:tc>
        <w:tc>
          <w:tcPr>
            <w:tcW w:w="1134" w:type="dxa"/>
            <w:noWrap/>
            <w:hideMark/>
          </w:tcPr>
          <w:p w14:paraId="588382CB" w14:textId="18C88D38" w:rsidR="00C66259" w:rsidRPr="004B6AB9" w:rsidRDefault="00C66259" w:rsidP="004B6AB9">
            <w:pPr>
              <w:jc w:val="center"/>
              <w:rPr>
                <w:color w:val="2F5496" w:themeColor="accent1" w:themeShade="BF"/>
              </w:rPr>
            </w:pPr>
            <w:r w:rsidRPr="004B6AB9">
              <w:rPr>
                <w:color w:val="2F5496" w:themeColor="accent1" w:themeShade="BF"/>
              </w:rPr>
              <w:t>£ 232.25</w:t>
            </w:r>
          </w:p>
        </w:tc>
        <w:tc>
          <w:tcPr>
            <w:tcW w:w="1275" w:type="dxa"/>
            <w:noWrap/>
            <w:hideMark/>
          </w:tcPr>
          <w:p w14:paraId="483D789E" w14:textId="4B901CCE" w:rsidR="00C66259" w:rsidRPr="004B6AB9" w:rsidRDefault="00C66259" w:rsidP="004B6AB9">
            <w:pPr>
              <w:jc w:val="center"/>
              <w:rPr>
                <w:color w:val="2F5496" w:themeColor="accent1" w:themeShade="BF"/>
              </w:rPr>
            </w:pPr>
            <w:r w:rsidRPr="004B6AB9">
              <w:rPr>
                <w:color w:val="2F5496" w:themeColor="accent1" w:themeShade="BF"/>
              </w:rPr>
              <w:t>£    965.07</w:t>
            </w:r>
          </w:p>
        </w:tc>
        <w:tc>
          <w:tcPr>
            <w:tcW w:w="1276" w:type="dxa"/>
            <w:noWrap/>
            <w:hideMark/>
          </w:tcPr>
          <w:p w14:paraId="79491B30" w14:textId="162FFB3E" w:rsidR="00C66259" w:rsidRPr="004B6AB9" w:rsidRDefault="00C66259" w:rsidP="004B6AB9">
            <w:pPr>
              <w:jc w:val="center"/>
              <w:rPr>
                <w:color w:val="2F5496" w:themeColor="accent1" w:themeShade="BF"/>
              </w:rPr>
            </w:pPr>
            <w:r w:rsidRPr="004B6AB9">
              <w:rPr>
                <w:color w:val="2F5496" w:themeColor="accent1" w:themeShade="BF"/>
              </w:rPr>
              <w:t>£ 868.70</w:t>
            </w:r>
          </w:p>
        </w:tc>
      </w:tr>
      <w:tr w:rsidR="00C66259" w:rsidRPr="00C66259" w14:paraId="6BC5168F" w14:textId="77777777" w:rsidTr="004B6AB9">
        <w:trPr>
          <w:trHeight w:val="288"/>
        </w:trPr>
        <w:tc>
          <w:tcPr>
            <w:tcW w:w="2547" w:type="dxa"/>
            <w:noWrap/>
            <w:hideMark/>
          </w:tcPr>
          <w:p w14:paraId="48F6C6AC" w14:textId="77777777" w:rsidR="00C66259" w:rsidRPr="004B6AB9" w:rsidRDefault="00C66259" w:rsidP="00357005">
            <w:pPr>
              <w:rPr>
                <w:color w:val="2F5496" w:themeColor="accent1" w:themeShade="BF"/>
              </w:rPr>
            </w:pPr>
            <w:r w:rsidRPr="004B6AB9">
              <w:rPr>
                <w:color w:val="2F5496" w:themeColor="accent1" w:themeShade="BF"/>
              </w:rPr>
              <w:t xml:space="preserve">c) </w:t>
            </w:r>
            <w:proofErr w:type="gramStart"/>
            <w:r w:rsidRPr="004B6AB9">
              <w:rPr>
                <w:color w:val="2F5496" w:themeColor="accent1" w:themeShade="BF"/>
              </w:rPr>
              <w:t>Older</w:t>
            </w:r>
            <w:proofErr w:type="gramEnd"/>
            <w:r w:rsidRPr="004B6AB9">
              <w:rPr>
                <w:color w:val="2F5496" w:themeColor="accent1" w:themeShade="BF"/>
              </w:rPr>
              <w:t xml:space="preserve"> person's nursing</w:t>
            </w:r>
          </w:p>
        </w:tc>
        <w:tc>
          <w:tcPr>
            <w:tcW w:w="1276" w:type="dxa"/>
            <w:noWrap/>
            <w:hideMark/>
          </w:tcPr>
          <w:p w14:paraId="3E3094D8" w14:textId="567EFF38" w:rsidR="00C66259" w:rsidRPr="004B6AB9" w:rsidRDefault="00C66259" w:rsidP="004B6AB9">
            <w:pPr>
              <w:jc w:val="center"/>
              <w:rPr>
                <w:color w:val="2F5496" w:themeColor="accent1" w:themeShade="BF"/>
              </w:rPr>
            </w:pPr>
            <w:r w:rsidRPr="004B6AB9">
              <w:rPr>
                <w:color w:val="2F5496" w:themeColor="accent1" w:themeShade="BF"/>
              </w:rPr>
              <w:t>£ 3,360.00</w:t>
            </w:r>
          </w:p>
        </w:tc>
        <w:tc>
          <w:tcPr>
            <w:tcW w:w="1134" w:type="dxa"/>
            <w:noWrap/>
            <w:hideMark/>
          </w:tcPr>
          <w:p w14:paraId="68CAEC92" w14:textId="055D60BC" w:rsidR="00C66259" w:rsidRPr="004B6AB9" w:rsidRDefault="00C66259" w:rsidP="004B6AB9">
            <w:pPr>
              <w:jc w:val="center"/>
              <w:rPr>
                <w:color w:val="2F5496" w:themeColor="accent1" w:themeShade="BF"/>
              </w:rPr>
            </w:pPr>
            <w:r w:rsidRPr="004B6AB9">
              <w:rPr>
                <w:color w:val="2F5496" w:themeColor="accent1" w:themeShade="BF"/>
              </w:rPr>
              <w:t>£ 378.14</w:t>
            </w:r>
          </w:p>
        </w:tc>
        <w:tc>
          <w:tcPr>
            <w:tcW w:w="1275" w:type="dxa"/>
            <w:noWrap/>
            <w:hideMark/>
          </w:tcPr>
          <w:p w14:paraId="4BE28F87" w14:textId="4F176E91" w:rsidR="00C66259" w:rsidRPr="004B6AB9" w:rsidRDefault="00C66259" w:rsidP="004B6AB9">
            <w:pPr>
              <w:jc w:val="center"/>
              <w:rPr>
                <w:color w:val="2F5496" w:themeColor="accent1" w:themeShade="BF"/>
              </w:rPr>
            </w:pPr>
            <w:r w:rsidRPr="004B6AB9">
              <w:rPr>
                <w:color w:val="2F5496" w:themeColor="accent1" w:themeShade="BF"/>
              </w:rPr>
              <w:t>£ 1,050.19</w:t>
            </w:r>
          </w:p>
        </w:tc>
        <w:tc>
          <w:tcPr>
            <w:tcW w:w="1276" w:type="dxa"/>
            <w:noWrap/>
            <w:hideMark/>
          </w:tcPr>
          <w:p w14:paraId="4DA91CDD" w14:textId="13A7D492" w:rsidR="00C66259" w:rsidRPr="004B6AB9" w:rsidRDefault="00C66259" w:rsidP="004B6AB9">
            <w:pPr>
              <w:jc w:val="center"/>
              <w:rPr>
                <w:color w:val="2F5496" w:themeColor="accent1" w:themeShade="BF"/>
              </w:rPr>
            </w:pPr>
            <w:r w:rsidRPr="004B6AB9">
              <w:rPr>
                <w:color w:val="2F5496" w:themeColor="accent1" w:themeShade="BF"/>
              </w:rPr>
              <w:t>£ 950.00</w:t>
            </w:r>
          </w:p>
        </w:tc>
      </w:tr>
    </w:tbl>
    <w:p w14:paraId="7AB7E343" w14:textId="77777777" w:rsidR="00C66259" w:rsidRPr="00C66259" w:rsidRDefault="00C66259"/>
    <w:p w14:paraId="73B6814D" w14:textId="4152A5F4" w:rsidR="00AA3FC3" w:rsidRPr="00C66259" w:rsidRDefault="00AA3FC3">
      <w:r w:rsidRPr="00C66259">
        <w:t>For clarification, EMI stands for Elderly Mentally Infirm</w:t>
      </w:r>
      <w:r w:rsidRPr="00C66259">
        <w:br/>
        <w:t>If figures for 2021/22 are not available please provide budgeted or predicted figures</w:t>
      </w:r>
    </w:p>
    <w:sectPr w:rsidR="00AA3FC3" w:rsidRPr="00C66259" w:rsidSect="00C66259">
      <w:headerReference w:type="even" r:id="rId6"/>
      <w:headerReference w:type="default" r:id="rId7"/>
      <w:footerReference w:type="even" r:id="rId8"/>
      <w:footerReference w:type="default" r:id="rId9"/>
      <w:headerReference w:type="first" r:id="rId10"/>
      <w:footerReference w:type="first" r:id="rId11"/>
      <w:pgSz w:w="11906" w:h="16838"/>
      <w:pgMar w:top="851" w:right="907"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A4D8" w14:textId="77777777" w:rsidR="005D5133" w:rsidRDefault="005D5133" w:rsidP="00552F60">
      <w:pPr>
        <w:spacing w:after="0" w:line="240" w:lineRule="auto"/>
      </w:pPr>
      <w:r>
        <w:separator/>
      </w:r>
    </w:p>
  </w:endnote>
  <w:endnote w:type="continuationSeparator" w:id="0">
    <w:p w14:paraId="7123A64F" w14:textId="77777777" w:rsidR="005D5133" w:rsidRDefault="005D5133" w:rsidP="0055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A0198" w14:textId="6CC842B7" w:rsidR="004B6AB9" w:rsidRDefault="004B6A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61DD6" w14:textId="7B545185" w:rsidR="00552F60" w:rsidRDefault="00552F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D47D4" w14:textId="1ADBBFA8" w:rsidR="004B6AB9" w:rsidRDefault="004B6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74C0A" w14:textId="77777777" w:rsidR="005D5133" w:rsidRDefault="005D5133" w:rsidP="00552F60">
      <w:pPr>
        <w:spacing w:after="0" w:line="240" w:lineRule="auto"/>
      </w:pPr>
      <w:r>
        <w:separator/>
      </w:r>
    </w:p>
  </w:footnote>
  <w:footnote w:type="continuationSeparator" w:id="0">
    <w:p w14:paraId="3C3550E1" w14:textId="77777777" w:rsidR="005D5133" w:rsidRDefault="005D5133" w:rsidP="00552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7DF86" w14:textId="77777777" w:rsidR="004B6AB9" w:rsidRDefault="004B6A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3AD61" w14:textId="77777777" w:rsidR="004B6AB9" w:rsidRDefault="004B6A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6CD9" w14:textId="77777777" w:rsidR="004B6AB9" w:rsidRDefault="004B6AB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FC3"/>
    <w:rsid w:val="004B6AB9"/>
    <w:rsid w:val="00552F60"/>
    <w:rsid w:val="005D5133"/>
    <w:rsid w:val="00AA3FC3"/>
    <w:rsid w:val="00BA64F1"/>
    <w:rsid w:val="00C662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71BB8"/>
  <w15:chartTrackingRefBased/>
  <w15:docId w15:val="{1E62ABCC-EF09-457F-A678-91366B8A4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F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F60"/>
  </w:style>
  <w:style w:type="paragraph" w:styleId="Footer">
    <w:name w:val="footer"/>
    <w:basedOn w:val="Normal"/>
    <w:link w:val="FooterChar"/>
    <w:uiPriority w:val="99"/>
    <w:unhideWhenUsed/>
    <w:rsid w:val="00552F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F60"/>
  </w:style>
  <w:style w:type="table" w:styleId="TableGrid">
    <w:name w:val="Table Grid"/>
    <w:basedOn w:val="TableNormal"/>
    <w:uiPriority w:val="39"/>
    <w:rsid w:val="00C66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592655">
      <w:bodyDiv w:val="1"/>
      <w:marLeft w:val="0"/>
      <w:marRight w:val="0"/>
      <w:marTop w:val="0"/>
      <w:marBottom w:val="0"/>
      <w:divBdr>
        <w:top w:val="none" w:sz="0" w:space="0" w:color="auto"/>
        <w:left w:val="none" w:sz="0" w:space="0" w:color="auto"/>
        <w:bottom w:val="none" w:sz="0" w:space="0" w:color="auto"/>
        <w:right w:val="none" w:sz="0" w:space="0" w:color="auto"/>
      </w:divBdr>
    </w:div>
    <w:div w:id="1480805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Sophia Latimer</dc:creator>
  <cp:keywords/>
  <dc:description/>
  <cp:lastModifiedBy>Frankie Lawrence</cp:lastModifiedBy>
  <cp:revision>2</cp:revision>
  <dcterms:created xsi:type="dcterms:W3CDTF">2021-11-15T13:38:00Z</dcterms:created>
  <dcterms:modified xsi:type="dcterms:W3CDTF">2021-11-15T13:38:00Z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17f5eab-0951-45e7-baa9-357beec0b77b_Enabled">
    <vt:lpwstr>true</vt:lpwstr>
  </property>
  <property fmtid="{D5CDD505-2E9C-101B-9397-08002B2CF9AE}" pid="3" name="MSIP_Label_d17f5eab-0951-45e7-baa9-357beec0b77b_SetDate">
    <vt:lpwstr>2021-11-15T13:36:05Z</vt:lpwstr>
  </property>
  <property fmtid="{D5CDD505-2E9C-101B-9397-08002B2CF9AE}" pid="4" name="MSIP_Label_d17f5eab-0951-45e7-baa9-357beec0b77b_Method">
    <vt:lpwstr>Privileged</vt:lpwstr>
  </property>
  <property fmtid="{D5CDD505-2E9C-101B-9397-08002B2CF9AE}" pid="5" name="MSIP_Label_d17f5eab-0951-45e7-baa9-357beec0b77b_Name">
    <vt:lpwstr>Document</vt:lpwstr>
  </property>
  <property fmtid="{D5CDD505-2E9C-101B-9397-08002B2CF9AE}" pid="6" name="MSIP_Label_d17f5eab-0951-45e7-baa9-357beec0b77b_SiteId">
    <vt:lpwstr>996ee15c-0b3e-4a6f-8e65-120a9a51821a</vt:lpwstr>
  </property>
  <property fmtid="{D5CDD505-2E9C-101B-9397-08002B2CF9AE}" pid="7" name="MSIP_Label_d17f5eab-0951-45e7-baa9-357beec0b77b_ActionId">
    <vt:lpwstr>3835575e-7ed9-4745-8fb2-59b554786bb1</vt:lpwstr>
  </property>
  <property fmtid="{D5CDD505-2E9C-101B-9397-08002B2CF9AE}" pid="8" name="MSIP_Label_d17f5eab-0951-45e7-baa9-357beec0b77b_ContentBits">
    <vt:lpwstr>0</vt:lpwstr>
  </property>
</Properties>
</file>