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97F6" w14:textId="213F28EC" w:rsidR="00A455E0" w:rsidRPr="000A065C" w:rsidRDefault="000A065C" w:rsidP="000A065C">
      <w:pPr>
        <w:jc w:val="center"/>
        <w:rPr>
          <w:b/>
          <w:bCs/>
          <w:u w:val="single"/>
        </w:rPr>
      </w:pPr>
      <w:r w:rsidRPr="000A065C">
        <w:rPr>
          <w:b/>
          <w:bCs/>
          <w:u w:val="single"/>
        </w:rPr>
        <w:t>WBCIR:</w:t>
      </w:r>
      <w:r w:rsidR="00A455E0" w:rsidRPr="000A065C">
        <w:rPr>
          <w:b/>
          <w:bCs/>
          <w:u w:val="single"/>
        </w:rPr>
        <w:t>16022</w:t>
      </w:r>
    </w:p>
    <w:p w14:paraId="42E4A5FD" w14:textId="77777777" w:rsidR="00A455E0" w:rsidRDefault="00A455E0" w:rsidP="00A455E0"/>
    <w:p w14:paraId="57EC3907" w14:textId="2236B3E8" w:rsidR="003440C1" w:rsidRPr="000A065C" w:rsidRDefault="00A455E0" w:rsidP="003440C1">
      <w:pPr>
        <w:rPr>
          <w:b/>
          <w:bCs/>
        </w:rPr>
      </w:pPr>
      <w:r w:rsidRPr="000A065C">
        <w:rPr>
          <w:b/>
          <w:bCs/>
        </w:rPr>
        <w:t>1. I would like to know how many SEND officers are within the team per pay banding.</w:t>
      </w:r>
    </w:p>
    <w:tbl>
      <w:tblPr>
        <w:tblW w:w="10002" w:type="dxa"/>
        <w:tblCellMar>
          <w:left w:w="0" w:type="dxa"/>
          <w:right w:w="0" w:type="dxa"/>
        </w:tblCellMar>
        <w:tblLook w:val="04A0" w:firstRow="1" w:lastRow="0" w:firstColumn="1" w:lastColumn="0" w:noHBand="0" w:noVBand="1"/>
      </w:tblPr>
      <w:tblGrid>
        <w:gridCol w:w="4945"/>
        <w:gridCol w:w="1337"/>
        <w:gridCol w:w="701"/>
        <w:gridCol w:w="701"/>
        <w:gridCol w:w="701"/>
        <w:gridCol w:w="701"/>
        <w:gridCol w:w="972"/>
      </w:tblGrid>
      <w:tr w:rsidR="003440C1" w14:paraId="7FC3E096" w14:textId="77777777" w:rsidTr="000A065C">
        <w:trPr>
          <w:trHeight w:val="290"/>
        </w:trPr>
        <w:tc>
          <w:tcPr>
            <w:tcW w:w="4945" w:type="dxa"/>
            <w:noWrap/>
            <w:tcMar>
              <w:top w:w="0" w:type="dxa"/>
              <w:left w:w="108" w:type="dxa"/>
              <w:bottom w:w="0" w:type="dxa"/>
              <w:right w:w="108" w:type="dxa"/>
            </w:tcMar>
            <w:vAlign w:val="bottom"/>
            <w:hideMark/>
          </w:tcPr>
          <w:p w14:paraId="1C54AE1E" w14:textId="77777777" w:rsidR="003440C1" w:rsidRDefault="003440C1" w:rsidP="000A065C">
            <w:pPr>
              <w:jc w:val="center"/>
            </w:pPr>
          </w:p>
        </w:tc>
        <w:tc>
          <w:tcPr>
            <w:tcW w:w="1337" w:type="dxa"/>
            <w:noWrap/>
            <w:tcMar>
              <w:top w:w="0" w:type="dxa"/>
              <w:left w:w="108" w:type="dxa"/>
              <w:bottom w:w="0" w:type="dxa"/>
              <w:right w:w="108" w:type="dxa"/>
            </w:tcMar>
            <w:vAlign w:val="bottom"/>
            <w:hideMark/>
          </w:tcPr>
          <w:p w14:paraId="77A86FF0" w14:textId="77777777" w:rsidR="003440C1" w:rsidRDefault="003440C1">
            <w:pPr>
              <w:rPr>
                <w:rFonts w:ascii="Times New Roman" w:eastAsia="Times New Roman" w:hAnsi="Times New Roman" w:cs="Times New Roman"/>
                <w:sz w:val="20"/>
                <w:szCs w:val="20"/>
                <w:lang w:eastAsia="en-GB"/>
              </w:rPr>
            </w:pPr>
          </w:p>
        </w:tc>
        <w:tc>
          <w:tcPr>
            <w:tcW w:w="687" w:type="dxa"/>
            <w:noWrap/>
            <w:tcMar>
              <w:top w:w="0" w:type="dxa"/>
              <w:left w:w="108" w:type="dxa"/>
              <w:bottom w:w="0" w:type="dxa"/>
              <w:right w:w="108" w:type="dxa"/>
            </w:tcMar>
            <w:vAlign w:val="bottom"/>
            <w:hideMark/>
          </w:tcPr>
          <w:p w14:paraId="13DB4F7D" w14:textId="77777777" w:rsidR="003440C1" w:rsidRDefault="003440C1">
            <w:pPr>
              <w:rPr>
                <w:rFonts w:ascii="Times New Roman" w:eastAsia="Times New Roman" w:hAnsi="Times New Roman" w:cs="Times New Roman"/>
                <w:sz w:val="20"/>
                <w:szCs w:val="20"/>
                <w:lang w:eastAsia="en-GB"/>
              </w:rPr>
            </w:pPr>
          </w:p>
        </w:tc>
        <w:tc>
          <w:tcPr>
            <w:tcW w:w="687" w:type="dxa"/>
            <w:noWrap/>
            <w:tcMar>
              <w:top w:w="0" w:type="dxa"/>
              <w:left w:w="108" w:type="dxa"/>
              <w:bottom w:w="0" w:type="dxa"/>
              <w:right w:w="108" w:type="dxa"/>
            </w:tcMar>
            <w:vAlign w:val="bottom"/>
            <w:hideMark/>
          </w:tcPr>
          <w:p w14:paraId="5F852747" w14:textId="77777777" w:rsidR="003440C1" w:rsidRDefault="003440C1">
            <w:pPr>
              <w:rPr>
                <w:rFonts w:ascii="Times New Roman" w:eastAsia="Times New Roman" w:hAnsi="Times New Roman" w:cs="Times New Roman"/>
                <w:sz w:val="20"/>
                <w:szCs w:val="20"/>
                <w:lang w:eastAsia="en-GB"/>
              </w:rPr>
            </w:pPr>
          </w:p>
        </w:tc>
        <w:tc>
          <w:tcPr>
            <w:tcW w:w="687" w:type="dxa"/>
            <w:noWrap/>
            <w:tcMar>
              <w:top w:w="0" w:type="dxa"/>
              <w:left w:w="108" w:type="dxa"/>
              <w:bottom w:w="0" w:type="dxa"/>
              <w:right w:w="108" w:type="dxa"/>
            </w:tcMar>
            <w:vAlign w:val="bottom"/>
            <w:hideMark/>
          </w:tcPr>
          <w:p w14:paraId="1240C9D4" w14:textId="77777777" w:rsidR="003440C1" w:rsidRDefault="003440C1">
            <w:pPr>
              <w:rPr>
                <w:rFonts w:ascii="Times New Roman" w:eastAsia="Times New Roman" w:hAnsi="Times New Roman" w:cs="Times New Roman"/>
                <w:sz w:val="20"/>
                <w:szCs w:val="20"/>
                <w:lang w:eastAsia="en-GB"/>
              </w:rPr>
            </w:pPr>
          </w:p>
        </w:tc>
        <w:tc>
          <w:tcPr>
            <w:tcW w:w="687" w:type="dxa"/>
            <w:noWrap/>
            <w:tcMar>
              <w:top w:w="0" w:type="dxa"/>
              <w:left w:w="108" w:type="dxa"/>
              <w:bottom w:w="0" w:type="dxa"/>
              <w:right w:w="108" w:type="dxa"/>
            </w:tcMar>
            <w:vAlign w:val="bottom"/>
            <w:hideMark/>
          </w:tcPr>
          <w:p w14:paraId="5A8B873B" w14:textId="77777777" w:rsidR="003440C1" w:rsidRDefault="003440C1">
            <w:pPr>
              <w:rPr>
                <w:rFonts w:ascii="Times New Roman" w:eastAsia="Times New Roman" w:hAnsi="Times New Roman" w:cs="Times New Roman"/>
                <w:sz w:val="20"/>
                <w:szCs w:val="20"/>
                <w:lang w:eastAsia="en-GB"/>
              </w:rPr>
            </w:pPr>
          </w:p>
        </w:tc>
        <w:tc>
          <w:tcPr>
            <w:tcW w:w="972" w:type="dxa"/>
            <w:noWrap/>
            <w:tcMar>
              <w:top w:w="0" w:type="dxa"/>
              <w:left w:w="108" w:type="dxa"/>
              <w:bottom w:w="0" w:type="dxa"/>
              <w:right w:w="108" w:type="dxa"/>
            </w:tcMar>
            <w:vAlign w:val="bottom"/>
            <w:hideMark/>
          </w:tcPr>
          <w:p w14:paraId="35CFCBA2" w14:textId="77777777" w:rsidR="003440C1" w:rsidRDefault="003440C1">
            <w:pPr>
              <w:rPr>
                <w:rFonts w:ascii="Times New Roman" w:eastAsia="Times New Roman" w:hAnsi="Times New Roman" w:cs="Times New Roman"/>
                <w:sz w:val="20"/>
                <w:szCs w:val="20"/>
                <w:lang w:eastAsia="en-GB"/>
              </w:rPr>
            </w:pPr>
          </w:p>
        </w:tc>
      </w:tr>
      <w:tr w:rsidR="003440C1" w14:paraId="5B05109F" w14:textId="77777777" w:rsidTr="000A065C">
        <w:trPr>
          <w:trHeight w:val="290"/>
        </w:trPr>
        <w:tc>
          <w:tcPr>
            <w:tcW w:w="4945"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188BD96C" w14:textId="77777777" w:rsidR="003440C1" w:rsidRDefault="003440C1">
            <w:pPr>
              <w:spacing w:line="252" w:lineRule="auto"/>
              <w:rPr>
                <w:b/>
                <w:bCs/>
                <w:color w:val="FFFFFF"/>
                <w:lang w:eastAsia="en-GB"/>
              </w:rPr>
            </w:pPr>
            <w:r>
              <w:rPr>
                <w:b/>
                <w:bCs/>
                <w:color w:val="FFFFFF"/>
                <w:lang w:eastAsia="en-GB"/>
              </w:rPr>
              <w:t>Count of Staff</w:t>
            </w:r>
          </w:p>
        </w:tc>
        <w:tc>
          <w:tcPr>
            <w:tcW w:w="1337"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4820D2AF" w14:textId="77777777" w:rsidR="003440C1" w:rsidRDefault="003440C1">
            <w:pPr>
              <w:spacing w:line="252" w:lineRule="auto"/>
              <w:jc w:val="center"/>
              <w:rPr>
                <w:color w:val="FFFFFF"/>
                <w:lang w:eastAsia="en-GB"/>
              </w:rPr>
            </w:pPr>
            <w:r>
              <w:rPr>
                <w:color w:val="FFFFFF"/>
                <w:lang w:eastAsia="en-GB"/>
              </w:rPr>
              <w:t>Grade</w:t>
            </w:r>
          </w:p>
        </w:tc>
        <w:tc>
          <w:tcPr>
            <w:tcW w:w="687"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2E3F643C" w14:textId="77777777" w:rsidR="003440C1" w:rsidRDefault="003440C1">
            <w:pPr>
              <w:rPr>
                <w:color w:val="FFFFFF"/>
                <w:lang w:eastAsia="en-GB"/>
              </w:rPr>
            </w:pPr>
          </w:p>
        </w:tc>
        <w:tc>
          <w:tcPr>
            <w:tcW w:w="687"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50F51169"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64A9CB26"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60E3611F" w14:textId="77777777" w:rsidR="003440C1" w:rsidRDefault="003440C1">
            <w:pPr>
              <w:rPr>
                <w:rFonts w:ascii="Times New Roman" w:eastAsia="Times New Roman" w:hAnsi="Times New Roman" w:cs="Times New Roman"/>
                <w:sz w:val="20"/>
                <w:szCs w:val="20"/>
                <w:lang w:eastAsia="en-GB"/>
              </w:rPr>
            </w:pPr>
          </w:p>
        </w:tc>
        <w:tc>
          <w:tcPr>
            <w:tcW w:w="972" w:type="dxa"/>
            <w:tcBorders>
              <w:top w:val="nil"/>
              <w:left w:val="nil"/>
              <w:bottom w:val="single" w:sz="8" w:space="0" w:color="548235"/>
              <w:right w:val="nil"/>
            </w:tcBorders>
            <w:shd w:val="clear" w:color="auto" w:fill="548235"/>
            <w:noWrap/>
            <w:tcMar>
              <w:top w:w="0" w:type="dxa"/>
              <w:left w:w="108" w:type="dxa"/>
              <w:bottom w:w="0" w:type="dxa"/>
              <w:right w:w="108" w:type="dxa"/>
            </w:tcMar>
            <w:vAlign w:val="bottom"/>
            <w:hideMark/>
          </w:tcPr>
          <w:p w14:paraId="0E11C6D2" w14:textId="77777777" w:rsidR="003440C1" w:rsidRDefault="003440C1">
            <w:pPr>
              <w:rPr>
                <w:rFonts w:ascii="Times New Roman" w:eastAsia="Times New Roman" w:hAnsi="Times New Roman" w:cs="Times New Roman"/>
                <w:sz w:val="20"/>
                <w:szCs w:val="20"/>
                <w:lang w:eastAsia="en-GB"/>
              </w:rPr>
            </w:pPr>
          </w:p>
        </w:tc>
      </w:tr>
      <w:tr w:rsidR="003440C1" w14:paraId="5DDAB8AA" w14:textId="77777777" w:rsidTr="000A065C">
        <w:trPr>
          <w:trHeight w:val="290"/>
        </w:trPr>
        <w:tc>
          <w:tcPr>
            <w:tcW w:w="4945" w:type="dxa"/>
            <w:tcBorders>
              <w:top w:val="nil"/>
              <w:left w:val="nil"/>
              <w:bottom w:val="single" w:sz="8" w:space="0" w:color="E2EFDA"/>
              <w:right w:val="nil"/>
            </w:tcBorders>
            <w:shd w:val="clear" w:color="auto" w:fill="548235"/>
            <w:noWrap/>
            <w:tcMar>
              <w:top w:w="0" w:type="dxa"/>
              <w:left w:w="108" w:type="dxa"/>
              <w:bottom w:w="0" w:type="dxa"/>
              <w:right w:w="108" w:type="dxa"/>
            </w:tcMar>
            <w:vAlign w:val="bottom"/>
            <w:hideMark/>
          </w:tcPr>
          <w:p w14:paraId="6C5B95A6" w14:textId="77777777" w:rsidR="003440C1" w:rsidRDefault="003440C1">
            <w:pPr>
              <w:rPr>
                <w:rFonts w:ascii="Times New Roman" w:eastAsia="Times New Roman" w:hAnsi="Times New Roman" w:cs="Times New Roman"/>
                <w:sz w:val="20"/>
                <w:szCs w:val="20"/>
                <w:lang w:eastAsia="en-GB"/>
              </w:rPr>
            </w:pPr>
          </w:p>
        </w:tc>
        <w:tc>
          <w:tcPr>
            <w:tcW w:w="1337" w:type="dxa"/>
            <w:tcBorders>
              <w:top w:val="nil"/>
              <w:left w:val="nil"/>
              <w:bottom w:val="single" w:sz="8" w:space="0" w:color="C6E0B4"/>
              <w:right w:val="nil"/>
            </w:tcBorders>
            <w:shd w:val="clear" w:color="auto" w:fill="548235"/>
            <w:noWrap/>
            <w:tcMar>
              <w:top w:w="0" w:type="dxa"/>
              <w:left w:w="108" w:type="dxa"/>
              <w:bottom w:w="0" w:type="dxa"/>
              <w:right w:w="108" w:type="dxa"/>
            </w:tcMar>
            <w:vAlign w:val="bottom"/>
            <w:hideMark/>
          </w:tcPr>
          <w:p w14:paraId="1089051B" w14:textId="77777777" w:rsidR="003440C1" w:rsidRDefault="003440C1">
            <w:pPr>
              <w:spacing w:line="252" w:lineRule="auto"/>
              <w:jc w:val="center"/>
              <w:rPr>
                <w:color w:val="FFFFFF"/>
                <w:lang w:eastAsia="en-GB"/>
              </w:rPr>
            </w:pPr>
            <w:r>
              <w:rPr>
                <w:color w:val="FFFFFF"/>
                <w:lang w:eastAsia="en-GB"/>
              </w:rPr>
              <w:t>NLG10</w:t>
            </w:r>
          </w:p>
        </w:tc>
        <w:tc>
          <w:tcPr>
            <w:tcW w:w="687" w:type="dxa"/>
            <w:tcBorders>
              <w:top w:val="nil"/>
              <w:left w:val="nil"/>
              <w:bottom w:val="single" w:sz="8" w:space="0" w:color="C6E0B4"/>
              <w:right w:val="nil"/>
            </w:tcBorders>
            <w:shd w:val="clear" w:color="auto" w:fill="548235"/>
            <w:noWrap/>
            <w:tcMar>
              <w:top w:w="0" w:type="dxa"/>
              <w:left w:w="108" w:type="dxa"/>
              <w:bottom w:w="0" w:type="dxa"/>
              <w:right w:w="108" w:type="dxa"/>
            </w:tcMar>
            <w:vAlign w:val="bottom"/>
            <w:hideMark/>
          </w:tcPr>
          <w:p w14:paraId="7395A3C3" w14:textId="77777777" w:rsidR="003440C1" w:rsidRDefault="003440C1">
            <w:pPr>
              <w:spacing w:line="252" w:lineRule="auto"/>
              <w:jc w:val="center"/>
              <w:rPr>
                <w:color w:val="FFFFFF"/>
                <w:lang w:eastAsia="en-GB"/>
              </w:rPr>
            </w:pPr>
            <w:r>
              <w:rPr>
                <w:color w:val="FFFFFF"/>
                <w:lang w:eastAsia="en-GB"/>
              </w:rPr>
              <w:t>NLG6</w:t>
            </w:r>
          </w:p>
        </w:tc>
        <w:tc>
          <w:tcPr>
            <w:tcW w:w="687" w:type="dxa"/>
            <w:tcBorders>
              <w:top w:val="nil"/>
              <w:left w:val="nil"/>
              <w:bottom w:val="single" w:sz="8" w:space="0" w:color="C6E0B4"/>
              <w:right w:val="nil"/>
            </w:tcBorders>
            <w:shd w:val="clear" w:color="auto" w:fill="548235"/>
            <w:noWrap/>
            <w:tcMar>
              <w:top w:w="0" w:type="dxa"/>
              <w:left w:w="108" w:type="dxa"/>
              <w:bottom w:w="0" w:type="dxa"/>
              <w:right w:w="108" w:type="dxa"/>
            </w:tcMar>
            <w:vAlign w:val="bottom"/>
            <w:hideMark/>
          </w:tcPr>
          <w:p w14:paraId="4EB87091" w14:textId="77777777" w:rsidR="003440C1" w:rsidRDefault="003440C1">
            <w:pPr>
              <w:spacing w:line="252" w:lineRule="auto"/>
              <w:jc w:val="center"/>
              <w:rPr>
                <w:color w:val="FFFFFF"/>
                <w:lang w:eastAsia="en-GB"/>
              </w:rPr>
            </w:pPr>
            <w:r>
              <w:rPr>
                <w:color w:val="FFFFFF"/>
                <w:lang w:eastAsia="en-GB"/>
              </w:rPr>
              <w:t>NLG7</w:t>
            </w:r>
          </w:p>
        </w:tc>
        <w:tc>
          <w:tcPr>
            <w:tcW w:w="687" w:type="dxa"/>
            <w:tcBorders>
              <w:top w:val="nil"/>
              <w:left w:val="nil"/>
              <w:bottom w:val="single" w:sz="8" w:space="0" w:color="C6E0B4"/>
              <w:right w:val="nil"/>
            </w:tcBorders>
            <w:shd w:val="clear" w:color="auto" w:fill="548235"/>
            <w:noWrap/>
            <w:tcMar>
              <w:top w:w="0" w:type="dxa"/>
              <w:left w:w="108" w:type="dxa"/>
              <w:bottom w:w="0" w:type="dxa"/>
              <w:right w:w="108" w:type="dxa"/>
            </w:tcMar>
            <w:vAlign w:val="bottom"/>
            <w:hideMark/>
          </w:tcPr>
          <w:p w14:paraId="14C346EA" w14:textId="77777777" w:rsidR="003440C1" w:rsidRDefault="003440C1">
            <w:pPr>
              <w:spacing w:line="252" w:lineRule="auto"/>
              <w:jc w:val="center"/>
              <w:rPr>
                <w:color w:val="FFFFFF"/>
                <w:lang w:eastAsia="en-GB"/>
              </w:rPr>
            </w:pPr>
            <w:r>
              <w:rPr>
                <w:color w:val="FFFFFF"/>
                <w:lang w:eastAsia="en-GB"/>
              </w:rPr>
              <w:t>NLG8</w:t>
            </w:r>
          </w:p>
        </w:tc>
        <w:tc>
          <w:tcPr>
            <w:tcW w:w="687" w:type="dxa"/>
            <w:tcBorders>
              <w:top w:val="nil"/>
              <w:left w:val="nil"/>
              <w:bottom w:val="single" w:sz="8" w:space="0" w:color="C6E0B4"/>
              <w:right w:val="nil"/>
            </w:tcBorders>
            <w:shd w:val="clear" w:color="auto" w:fill="548235"/>
            <w:noWrap/>
            <w:tcMar>
              <w:top w:w="0" w:type="dxa"/>
              <w:left w:w="108" w:type="dxa"/>
              <w:bottom w:w="0" w:type="dxa"/>
              <w:right w:w="108" w:type="dxa"/>
            </w:tcMar>
            <w:vAlign w:val="bottom"/>
            <w:hideMark/>
          </w:tcPr>
          <w:p w14:paraId="2284497D" w14:textId="77777777" w:rsidR="003440C1" w:rsidRDefault="003440C1">
            <w:pPr>
              <w:spacing w:line="252" w:lineRule="auto"/>
              <w:jc w:val="center"/>
              <w:rPr>
                <w:color w:val="FFFFFF"/>
                <w:lang w:eastAsia="en-GB"/>
              </w:rPr>
            </w:pPr>
            <w:r>
              <w:rPr>
                <w:color w:val="FFFFFF"/>
                <w:lang w:eastAsia="en-GB"/>
              </w:rPr>
              <w:t>NLG9</w:t>
            </w:r>
          </w:p>
        </w:tc>
        <w:tc>
          <w:tcPr>
            <w:tcW w:w="972" w:type="dxa"/>
            <w:tcBorders>
              <w:top w:val="nil"/>
              <w:left w:val="nil"/>
              <w:bottom w:val="single" w:sz="8" w:space="0" w:color="E2EFDA"/>
              <w:right w:val="nil"/>
            </w:tcBorders>
            <w:shd w:val="clear" w:color="auto" w:fill="548235"/>
            <w:noWrap/>
            <w:tcMar>
              <w:top w:w="0" w:type="dxa"/>
              <w:left w:w="108" w:type="dxa"/>
              <w:bottom w:w="0" w:type="dxa"/>
              <w:right w:w="108" w:type="dxa"/>
            </w:tcMar>
            <w:vAlign w:val="bottom"/>
            <w:hideMark/>
          </w:tcPr>
          <w:p w14:paraId="48040904" w14:textId="77777777" w:rsidR="003440C1" w:rsidRDefault="003440C1">
            <w:pPr>
              <w:spacing w:line="252" w:lineRule="auto"/>
              <w:jc w:val="center"/>
              <w:rPr>
                <w:color w:val="FFFFFF"/>
                <w:lang w:eastAsia="en-GB"/>
              </w:rPr>
            </w:pPr>
            <w:r>
              <w:rPr>
                <w:color w:val="FFFFFF"/>
                <w:lang w:eastAsia="en-GB"/>
              </w:rPr>
              <w:t>Grand Total</w:t>
            </w:r>
          </w:p>
        </w:tc>
      </w:tr>
      <w:tr w:rsidR="003440C1" w14:paraId="20FB70A9"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2AEB4646" w14:textId="77777777" w:rsidR="003440C1" w:rsidRDefault="003440C1">
            <w:pPr>
              <w:spacing w:line="252" w:lineRule="auto"/>
              <w:rPr>
                <w:color w:val="000000"/>
                <w:lang w:eastAsia="en-GB"/>
              </w:rPr>
            </w:pPr>
            <w:r>
              <w:rPr>
                <w:color w:val="000000"/>
                <w:lang w:eastAsia="en-GB"/>
              </w:rPr>
              <w:t>Assistant SEND Team Manager (Assessment)</w:t>
            </w:r>
          </w:p>
        </w:tc>
        <w:tc>
          <w:tcPr>
            <w:tcW w:w="1337" w:type="dxa"/>
            <w:tcBorders>
              <w:top w:val="nil"/>
              <w:left w:val="nil"/>
              <w:bottom w:val="single" w:sz="8" w:space="0" w:color="E2EFDA"/>
              <w:right w:val="nil"/>
            </w:tcBorders>
            <w:noWrap/>
            <w:tcMar>
              <w:top w:w="0" w:type="dxa"/>
              <w:left w:w="108" w:type="dxa"/>
              <w:bottom w:w="0" w:type="dxa"/>
              <w:right w:w="108" w:type="dxa"/>
            </w:tcMar>
            <w:vAlign w:val="bottom"/>
            <w:hideMark/>
          </w:tcPr>
          <w:p w14:paraId="1EF3B037"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05BBFE15"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180F25C7"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1828F4F9"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764AB857" w14:textId="77777777" w:rsidR="003440C1" w:rsidRDefault="003440C1">
            <w:pPr>
              <w:spacing w:line="252" w:lineRule="auto"/>
              <w:jc w:val="center"/>
              <w:rPr>
                <w:color w:val="000000"/>
                <w:lang w:eastAsia="en-GB"/>
              </w:rPr>
            </w:pPr>
            <w:r>
              <w:rPr>
                <w:color w:val="000000"/>
                <w:lang w:eastAsia="en-GB"/>
              </w:rPr>
              <w:t>1</w:t>
            </w: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2B8ED12D" w14:textId="77777777" w:rsidR="003440C1" w:rsidRDefault="003440C1">
            <w:pPr>
              <w:spacing w:line="252" w:lineRule="auto"/>
              <w:jc w:val="center"/>
              <w:rPr>
                <w:color w:val="000000"/>
                <w:lang w:eastAsia="en-GB"/>
              </w:rPr>
            </w:pPr>
            <w:r>
              <w:rPr>
                <w:color w:val="000000"/>
                <w:lang w:eastAsia="en-GB"/>
              </w:rPr>
              <w:t>1</w:t>
            </w:r>
          </w:p>
        </w:tc>
      </w:tr>
      <w:tr w:rsidR="003440C1" w14:paraId="72286348"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691DB78B" w14:textId="77777777" w:rsidR="003440C1" w:rsidRDefault="003440C1">
            <w:pPr>
              <w:spacing w:line="252" w:lineRule="auto"/>
              <w:rPr>
                <w:color w:val="000000"/>
                <w:lang w:eastAsia="en-GB"/>
              </w:rPr>
            </w:pPr>
            <w:r>
              <w:rPr>
                <w:color w:val="000000"/>
                <w:lang w:eastAsia="en-GB"/>
              </w:rPr>
              <w:t>SEND Case Officer (Annual Review)</w:t>
            </w:r>
          </w:p>
        </w:tc>
        <w:tc>
          <w:tcPr>
            <w:tcW w:w="1337" w:type="dxa"/>
            <w:tcBorders>
              <w:top w:val="nil"/>
              <w:left w:val="nil"/>
              <w:bottom w:val="single" w:sz="8" w:space="0" w:color="E2EFDA"/>
              <w:right w:val="nil"/>
            </w:tcBorders>
            <w:noWrap/>
            <w:tcMar>
              <w:top w:w="0" w:type="dxa"/>
              <w:left w:w="108" w:type="dxa"/>
              <w:bottom w:w="0" w:type="dxa"/>
              <w:right w:w="108" w:type="dxa"/>
            </w:tcMar>
            <w:vAlign w:val="bottom"/>
            <w:hideMark/>
          </w:tcPr>
          <w:p w14:paraId="34173985"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7A067DFA" w14:textId="77777777" w:rsidR="003440C1" w:rsidRDefault="003440C1">
            <w:pPr>
              <w:spacing w:line="252" w:lineRule="auto"/>
              <w:jc w:val="center"/>
              <w:rPr>
                <w:color w:val="000000"/>
                <w:lang w:eastAsia="en-GB"/>
              </w:rPr>
            </w:pPr>
            <w:r>
              <w:rPr>
                <w:color w:val="000000"/>
                <w:lang w:eastAsia="en-GB"/>
              </w:rPr>
              <w:t>1</w:t>
            </w: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661BD7C7"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5531E627"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76573F7B" w14:textId="77777777" w:rsidR="003440C1" w:rsidRDefault="003440C1">
            <w:pPr>
              <w:rPr>
                <w:rFonts w:ascii="Times New Roman" w:eastAsia="Times New Roman" w:hAnsi="Times New Roman" w:cs="Times New Roman"/>
                <w:sz w:val="20"/>
                <w:szCs w:val="20"/>
                <w:lang w:eastAsia="en-GB"/>
              </w:rPr>
            </w:pP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0C2B3F4F" w14:textId="77777777" w:rsidR="003440C1" w:rsidRDefault="003440C1">
            <w:pPr>
              <w:spacing w:line="252" w:lineRule="auto"/>
              <w:jc w:val="center"/>
              <w:rPr>
                <w:color w:val="000000"/>
                <w:lang w:eastAsia="en-GB"/>
              </w:rPr>
            </w:pPr>
            <w:r>
              <w:rPr>
                <w:color w:val="000000"/>
                <w:lang w:eastAsia="en-GB"/>
              </w:rPr>
              <w:t>1</w:t>
            </w:r>
          </w:p>
        </w:tc>
      </w:tr>
      <w:tr w:rsidR="003440C1" w14:paraId="237D68B9"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1275BA18" w14:textId="77777777" w:rsidR="003440C1" w:rsidRDefault="003440C1">
            <w:pPr>
              <w:spacing w:line="252" w:lineRule="auto"/>
              <w:rPr>
                <w:color w:val="000000"/>
                <w:lang w:eastAsia="en-GB"/>
              </w:rPr>
            </w:pPr>
            <w:r>
              <w:rPr>
                <w:color w:val="000000"/>
                <w:lang w:eastAsia="en-GB"/>
              </w:rPr>
              <w:t>SEND Case Officer (Assessment)</w:t>
            </w:r>
          </w:p>
        </w:tc>
        <w:tc>
          <w:tcPr>
            <w:tcW w:w="1337" w:type="dxa"/>
            <w:tcBorders>
              <w:top w:val="nil"/>
              <w:left w:val="nil"/>
              <w:bottom w:val="single" w:sz="8" w:space="0" w:color="E2EFDA"/>
              <w:right w:val="nil"/>
            </w:tcBorders>
            <w:noWrap/>
            <w:tcMar>
              <w:top w:w="0" w:type="dxa"/>
              <w:left w:w="108" w:type="dxa"/>
              <w:bottom w:w="0" w:type="dxa"/>
              <w:right w:w="108" w:type="dxa"/>
            </w:tcMar>
            <w:vAlign w:val="bottom"/>
            <w:hideMark/>
          </w:tcPr>
          <w:p w14:paraId="4970E4CA"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0B05EA75" w14:textId="77777777" w:rsidR="003440C1" w:rsidRDefault="003440C1">
            <w:pPr>
              <w:spacing w:line="252" w:lineRule="auto"/>
              <w:jc w:val="center"/>
              <w:rPr>
                <w:color w:val="000000"/>
                <w:lang w:eastAsia="en-GB"/>
              </w:rPr>
            </w:pPr>
            <w:r>
              <w:rPr>
                <w:color w:val="000000"/>
                <w:lang w:eastAsia="en-GB"/>
              </w:rPr>
              <w:t>1</w:t>
            </w: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7D005282"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106A346C"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5569DBFD" w14:textId="77777777" w:rsidR="003440C1" w:rsidRDefault="003440C1">
            <w:pPr>
              <w:rPr>
                <w:rFonts w:ascii="Times New Roman" w:eastAsia="Times New Roman" w:hAnsi="Times New Roman" w:cs="Times New Roman"/>
                <w:sz w:val="20"/>
                <w:szCs w:val="20"/>
                <w:lang w:eastAsia="en-GB"/>
              </w:rPr>
            </w:pP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5929610F" w14:textId="77777777" w:rsidR="003440C1" w:rsidRDefault="003440C1">
            <w:pPr>
              <w:spacing w:line="252" w:lineRule="auto"/>
              <w:jc w:val="center"/>
              <w:rPr>
                <w:color w:val="000000"/>
                <w:lang w:eastAsia="en-GB"/>
              </w:rPr>
            </w:pPr>
            <w:r>
              <w:rPr>
                <w:color w:val="000000"/>
                <w:lang w:eastAsia="en-GB"/>
              </w:rPr>
              <w:t>1</w:t>
            </w:r>
          </w:p>
        </w:tc>
      </w:tr>
      <w:tr w:rsidR="003440C1" w14:paraId="5FAB4B3A"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1D2746BE" w14:textId="77777777" w:rsidR="003440C1" w:rsidRDefault="003440C1">
            <w:pPr>
              <w:spacing w:line="252" w:lineRule="auto"/>
              <w:rPr>
                <w:color w:val="000000"/>
                <w:lang w:eastAsia="en-GB"/>
              </w:rPr>
            </w:pPr>
            <w:r>
              <w:rPr>
                <w:color w:val="000000"/>
                <w:lang w:eastAsia="en-GB"/>
              </w:rPr>
              <w:t>SEND Team Manager</w:t>
            </w:r>
          </w:p>
        </w:tc>
        <w:tc>
          <w:tcPr>
            <w:tcW w:w="1337" w:type="dxa"/>
            <w:tcBorders>
              <w:top w:val="nil"/>
              <w:left w:val="nil"/>
              <w:bottom w:val="single" w:sz="8" w:space="0" w:color="E2EFDA"/>
              <w:right w:val="nil"/>
            </w:tcBorders>
            <w:noWrap/>
            <w:tcMar>
              <w:top w:w="0" w:type="dxa"/>
              <w:left w:w="108" w:type="dxa"/>
              <w:bottom w:w="0" w:type="dxa"/>
              <w:right w:w="108" w:type="dxa"/>
            </w:tcMar>
            <w:vAlign w:val="bottom"/>
            <w:hideMark/>
          </w:tcPr>
          <w:p w14:paraId="06D1B015" w14:textId="77777777" w:rsidR="003440C1" w:rsidRDefault="003440C1">
            <w:pPr>
              <w:spacing w:line="252" w:lineRule="auto"/>
              <w:jc w:val="center"/>
              <w:rPr>
                <w:color w:val="000000"/>
                <w:lang w:eastAsia="en-GB"/>
              </w:rPr>
            </w:pPr>
            <w:r>
              <w:rPr>
                <w:color w:val="000000"/>
                <w:lang w:eastAsia="en-GB"/>
              </w:rPr>
              <w:t>1</w:t>
            </w: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355CCCED"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442E7BE3"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46537A7F"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0B8F3B79" w14:textId="77777777" w:rsidR="003440C1" w:rsidRDefault="003440C1">
            <w:pPr>
              <w:rPr>
                <w:rFonts w:ascii="Times New Roman" w:eastAsia="Times New Roman" w:hAnsi="Times New Roman" w:cs="Times New Roman"/>
                <w:sz w:val="20"/>
                <w:szCs w:val="20"/>
                <w:lang w:eastAsia="en-GB"/>
              </w:rPr>
            </w:pP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10E94290" w14:textId="77777777" w:rsidR="003440C1" w:rsidRDefault="003440C1">
            <w:pPr>
              <w:spacing w:line="252" w:lineRule="auto"/>
              <w:jc w:val="center"/>
              <w:rPr>
                <w:color w:val="000000"/>
                <w:lang w:eastAsia="en-GB"/>
              </w:rPr>
            </w:pPr>
            <w:r>
              <w:rPr>
                <w:color w:val="000000"/>
                <w:lang w:eastAsia="en-GB"/>
              </w:rPr>
              <w:t>1</w:t>
            </w:r>
          </w:p>
        </w:tc>
      </w:tr>
      <w:tr w:rsidR="003440C1" w14:paraId="6B34AEFD"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4971E3C2" w14:textId="77777777" w:rsidR="003440C1" w:rsidRDefault="003440C1">
            <w:pPr>
              <w:spacing w:line="252" w:lineRule="auto"/>
              <w:rPr>
                <w:color w:val="000000"/>
                <w:lang w:eastAsia="en-GB"/>
              </w:rPr>
            </w:pPr>
            <w:r>
              <w:rPr>
                <w:color w:val="000000"/>
                <w:lang w:eastAsia="en-GB"/>
              </w:rPr>
              <w:t>Senior SEND Officer (Annual Review)</w:t>
            </w:r>
          </w:p>
        </w:tc>
        <w:tc>
          <w:tcPr>
            <w:tcW w:w="1337" w:type="dxa"/>
            <w:tcBorders>
              <w:top w:val="nil"/>
              <w:left w:val="nil"/>
              <w:bottom w:val="single" w:sz="8" w:space="0" w:color="E2EFDA"/>
              <w:right w:val="nil"/>
            </w:tcBorders>
            <w:noWrap/>
            <w:tcMar>
              <w:top w:w="0" w:type="dxa"/>
              <w:left w:w="108" w:type="dxa"/>
              <w:bottom w:w="0" w:type="dxa"/>
              <w:right w:w="108" w:type="dxa"/>
            </w:tcMar>
            <w:vAlign w:val="bottom"/>
            <w:hideMark/>
          </w:tcPr>
          <w:p w14:paraId="313B74B3"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50F8CE18"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74074B1A"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56D92339" w14:textId="77777777" w:rsidR="003440C1" w:rsidRDefault="003440C1">
            <w:pPr>
              <w:spacing w:line="252" w:lineRule="auto"/>
              <w:jc w:val="center"/>
              <w:rPr>
                <w:color w:val="000000"/>
                <w:lang w:eastAsia="en-GB"/>
              </w:rPr>
            </w:pPr>
            <w:r>
              <w:rPr>
                <w:color w:val="000000"/>
                <w:lang w:eastAsia="en-GB"/>
              </w:rPr>
              <w:t>4</w:t>
            </w: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6329286F" w14:textId="77777777" w:rsidR="003440C1" w:rsidRDefault="003440C1">
            <w:pPr>
              <w:rPr>
                <w:color w:val="000000"/>
                <w:lang w:eastAsia="en-GB"/>
              </w:rPr>
            </w:pP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3D01054A" w14:textId="77777777" w:rsidR="003440C1" w:rsidRDefault="003440C1">
            <w:pPr>
              <w:spacing w:line="252" w:lineRule="auto"/>
              <w:jc w:val="center"/>
              <w:rPr>
                <w:color w:val="000000"/>
                <w:lang w:eastAsia="en-GB"/>
              </w:rPr>
            </w:pPr>
            <w:r>
              <w:rPr>
                <w:color w:val="000000"/>
                <w:lang w:eastAsia="en-GB"/>
              </w:rPr>
              <w:t>4</w:t>
            </w:r>
          </w:p>
        </w:tc>
      </w:tr>
      <w:tr w:rsidR="003440C1" w14:paraId="53454850"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5F2A0835" w14:textId="77777777" w:rsidR="003440C1" w:rsidRDefault="003440C1">
            <w:pPr>
              <w:spacing w:line="252" w:lineRule="auto"/>
              <w:rPr>
                <w:color w:val="000000"/>
                <w:lang w:eastAsia="en-GB"/>
              </w:rPr>
            </w:pPr>
            <w:r>
              <w:rPr>
                <w:color w:val="000000"/>
                <w:lang w:eastAsia="en-GB"/>
              </w:rPr>
              <w:t>Senior SEND Officer (Assessment)</w:t>
            </w:r>
          </w:p>
        </w:tc>
        <w:tc>
          <w:tcPr>
            <w:tcW w:w="1337" w:type="dxa"/>
            <w:tcBorders>
              <w:top w:val="nil"/>
              <w:left w:val="nil"/>
              <w:bottom w:val="single" w:sz="8" w:space="0" w:color="E2EFDA"/>
              <w:right w:val="nil"/>
            </w:tcBorders>
            <w:noWrap/>
            <w:tcMar>
              <w:top w:w="0" w:type="dxa"/>
              <w:left w:w="108" w:type="dxa"/>
              <w:bottom w:w="0" w:type="dxa"/>
              <w:right w:w="108" w:type="dxa"/>
            </w:tcMar>
            <w:vAlign w:val="bottom"/>
            <w:hideMark/>
          </w:tcPr>
          <w:p w14:paraId="6A89D376" w14:textId="77777777" w:rsidR="003440C1" w:rsidRDefault="003440C1">
            <w:pPr>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44823986"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52E5937C" w14:textId="77777777" w:rsidR="003440C1" w:rsidRDefault="003440C1">
            <w:pPr>
              <w:rPr>
                <w:rFonts w:ascii="Times New Roman" w:eastAsia="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4C57D2AA" w14:textId="77777777" w:rsidR="003440C1" w:rsidRDefault="003440C1">
            <w:pPr>
              <w:spacing w:line="252" w:lineRule="auto"/>
              <w:jc w:val="center"/>
              <w:rPr>
                <w:color w:val="000000"/>
                <w:lang w:eastAsia="en-GB"/>
              </w:rPr>
            </w:pPr>
            <w:r>
              <w:rPr>
                <w:color w:val="000000"/>
                <w:lang w:eastAsia="en-GB"/>
              </w:rPr>
              <w:t>3</w:t>
            </w: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60399CB2" w14:textId="77777777" w:rsidR="003440C1" w:rsidRDefault="003440C1">
            <w:pPr>
              <w:rPr>
                <w:color w:val="000000"/>
                <w:lang w:eastAsia="en-GB"/>
              </w:rPr>
            </w:pP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1D3D49CF" w14:textId="77777777" w:rsidR="003440C1" w:rsidRDefault="003440C1">
            <w:pPr>
              <w:spacing w:line="252" w:lineRule="auto"/>
              <w:jc w:val="center"/>
              <w:rPr>
                <w:color w:val="000000"/>
                <w:lang w:eastAsia="en-GB"/>
              </w:rPr>
            </w:pPr>
            <w:r>
              <w:rPr>
                <w:color w:val="000000"/>
                <w:lang w:eastAsia="en-GB"/>
              </w:rPr>
              <w:t>3</w:t>
            </w:r>
          </w:p>
        </w:tc>
      </w:tr>
      <w:tr w:rsidR="003440C1" w14:paraId="204CFD85" w14:textId="77777777" w:rsidTr="000A065C">
        <w:trPr>
          <w:trHeight w:val="290"/>
        </w:trPr>
        <w:tc>
          <w:tcPr>
            <w:tcW w:w="4945" w:type="dxa"/>
            <w:tcBorders>
              <w:top w:val="nil"/>
              <w:left w:val="nil"/>
              <w:bottom w:val="single" w:sz="8" w:space="0" w:color="E2EFDA"/>
              <w:right w:val="nil"/>
            </w:tcBorders>
            <w:noWrap/>
            <w:tcMar>
              <w:top w:w="0" w:type="dxa"/>
              <w:left w:w="108" w:type="dxa"/>
              <w:bottom w:w="0" w:type="dxa"/>
              <w:right w:w="108" w:type="dxa"/>
            </w:tcMar>
            <w:vAlign w:val="bottom"/>
            <w:hideMark/>
          </w:tcPr>
          <w:p w14:paraId="23F41528" w14:textId="77777777" w:rsidR="003440C1" w:rsidRDefault="003440C1">
            <w:pPr>
              <w:spacing w:line="252" w:lineRule="auto"/>
              <w:rPr>
                <w:color w:val="000000"/>
                <w:lang w:eastAsia="en-GB"/>
              </w:rPr>
            </w:pPr>
            <w:r>
              <w:rPr>
                <w:color w:val="000000"/>
                <w:lang w:eastAsia="en-GB"/>
              </w:rPr>
              <w:t>Senior SEND Officer (Mediation and Tribunal)</w:t>
            </w:r>
          </w:p>
        </w:tc>
        <w:tc>
          <w:tcPr>
            <w:tcW w:w="1337" w:type="dxa"/>
            <w:tcBorders>
              <w:top w:val="nil"/>
              <w:left w:val="nil"/>
              <w:bottom w:val="single" w:sz="8" w:space="0" w:color="E2EFDA"/>
              <w:right w:val="nil"/>
            </w:tcBorders>
            <w:noWrap/>
            <w:tcMar>
              <w:top w:w="0" w:type="dxa"/>
              <w:left w:w="108" w:type="dxa"/>
              <w:bottom w:w="0" w:type="dxa"/>
              <w:right w:w="108" w:type="dxa"/>
            </w:tcMar>
            <w:vAlign w:val="bottom"/>
          </w:tcPr>
          <w:p w14:paraId="65DC6F2E" w14:textId="77777777" w:rsidR="003440C1" w:rsidRDefault="003440C1">
            <w:pPr>
              <w:spacing w:line="252" w:lineRule="auto"/>
              <w:rPr>
                <w:color w:val="00000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tcPr>
          <w:p w14:paraId="54A214C5" w14:textId="77777777" w:rsidR="003440C1" w:rsidRDefault="003440C1">
            <w:pPr>
              <w:spacing w:line="252" w:lineRule="auto"/>
              <w:rPr>
                <w:rFonts w:ascii="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tcPr>
          <w:p w14:paraId="6903BA55" w14:textId="77777777" w:rsidR="003440C1" w:rsidRDefault="003440C1">
            <w:pPr>
              <w:spacing w:line="252" w:lineRule="auto"/>
              <w:rPr>
                <w:rFonts w:ascii="Times New Roman" w:hAnsi="Times New Roman" w:cs="Times New Roman"/>
                <w:sz w:val="20"/>
                <w:szCs w:val="20"/>
                <w:lang w:eastAsia="en-GB"/>
              </w:rPr>
            </w:pPr>
          </w:p>
        </w:tc>
        <w:tc>
          <w:tcPr>
            <w:tcW w:w="687" w:type="dxa"/>
            <w:tcBorders>
              <w:top w:val="nil"/>
              <w:left w:val="nil"/>
              <w:bottom w:val="single" w:sz="8" w:space="0" w:color="E2EFDA"/>
              <w:right w:val="nil"/>
            </w:tcBorders>
            <w:noWrap/>
            <w:tcMar>
              <w:top w:w="0" w:type="dxa"/>
              <w:left w:w="108" w:type="dxa"/>
              <w:bottom w:w="0" w:type="dxa"/>
              <w:right w:w="108" w:type="dxa"/>
            </w:tcMar>
            <w:vAlign w:val="bottom"/>
            <w:hideMark/>
          </w:tcPr>
          <w:p w14:paraId="4F1036E1" w14:textId="77777777" w:rsidR="003440C1" w:rsidRDefault="003440C1">
            <w:pPr>
              <w:spacing w:line="252" w:lineRule="auto"/>
              <w:jc w:val="center"/>
              <w:rPr>
                <w:color w:val="000000"/>
                <w:lang w:eastAsia="en-GB"/>
              </w:rPr>
            </w:pPr>
            <w:r>
              <w:rPr>
                <w:color w:val="000000"/>
                <w:lang w:eastAsia="en-GB"/>
              </w:rPr>
              <w:t>1</w:t>
            </w:r>
          </w:p>
        </w:tc>
        <w:tc>
          <w:tcPr>
            <w:tcW w:w="687" w:type="dxa"/>
            <w:tcBorders>
              <w:top w:val="nil"/>
              <w:left w:val="nil"/>
              <w:bottom w:val="single" w:sz="8" w:space="0" w:color="E2EFDA"/>
              <w:right w:val="nil"/>
            </w:tcBorders>
            <w:noWrap/>
            <w:tcMar>
              <w:top w:w="0" w:type="dxa"/>
              <w:left w:w="108" w:type="dxa"/>
              <w:bottom w:w="0" w:type="dxa"/>
              <w:right w:w="108" w:type="dxa"/>
            </w:tcMar>
            <w:vAlign w:val="bottom"/>
          </w:tcPr>
          <w:p w14:paraId="3C163413" w14:textId="77777777" w:rsidR="003440C1" w:rsidRDefault="003440C1">
            <w:pPr>
              <w:spacing w:line="252" w:lineRule="auto"/>
              <w:rPr>
                <w:color w:val="000000"/>
                <w:lang w:eastAsia="en-GB"/>
              </w:rPr>
            </w:pPr>
          </w:p>
        </w:tc>
        <w:tc>
          <w:tcPr>
            <w:tcW w:w="972" w:type="dxa"/>
            <w:tcBorders>
              <w:top w:val="nil"/>
              <w:left w:val="nil"/>
              <w:bottom w:val="single" w:sz="8" w:space="0" w:color="E2EFDA"/>
              <w:right w:val="nil"/>
            </w:tcBorders>
            <w:noWrap/>
            <w:tcMar>
              <w:top w:w="0" w:type="dxa"/>
              <w:left w:w="108" w:type="dxa"/>
              <w:bottom w:w="0" w:type="dxa"/>
              <w:right w:w="108" w:type="dxa"/>
            </w:tcMar>
            <w:vAlign w:val="bottom"/>
            <w:hideMark/>
          </w:tcPr>
          <w:p w14:paraId="3AD88AAE" w14:textId="77777777" w:rsidR="003440C1" w:rsidRDefault="003440C1">
            <w:pPr>
              <w:spacing w:line="252" w:lineRule="auto"/>
              <w:jc w:val="center"/>
              <w:rPr>
                <w:color w:val="000000"/>
                <w:lang w:eastAsia="en-GB"/>
              </w:rPr>
            </w:pPr>
            <w:r>
              <w:rPr>
                <w:color w:val="000000"/>
                <w:lang w:eastAsia="en-GB"/>
              </w:rPr>
              <w:t>1</w:t>
            </w:r>
          </w:p>
        </w:tc>
      </w:tr>
      <w:tr w:rsidR="003440C1" w14:paraId="4CCF26E8" w14:textId="77777777" w:rsidTr="000A065C">
        <w:trPr>
          <w:trHeight w:val="290"/>
        </w:trPr>
        <w:tc>
          <w:tcPr>
            <w:tcW w:w="4945" w:type="dxa"/>
            <w:noWrap/>
            <w:tcMar>
              <w:top w:w="0" w:type="dxa"/>
              <w:left w:w="108" w:type="dxa"/>
              <w:bottom w:w="0" w:type="dxa"/>
              <w:right w:w="108" w:type="dxa"/>
            </w:tcMar>
            <w:vAlign w:val="bottom"/>
            <w:hideMark/>
          </w:tcPr>
          <w:p w14:paraId="44A695A8" w14:textId="77777777" w:rsidR="003440C1" w:rsidRDefault="003440C1">
            <w:pPr>
              <w:spacing w:line="252" w:lineRule="auto"/>
              <w:rPr>
                <w:b/>
                <w:bCs/>
                <w:color w:val="000000"/>
                <w:lang w:eastAsia="en-GB"/>
              </w:rPr>
            </w:pPr>
            <w:r>
              <w:rPr>
                <w:b/>
                <w:bCs/>
                <w:color w:val="000000"/>
                <w:lang w:eastAsia="en-GB"/>
              </w:rPr>
              <w:t>Grand Total</w:t>
            </w:r>
          </w:p>
        </w:tc>
        <w:tc>
          <w:tcPr>
            <w:tcW w:w="1337" w:type="dxa"/>
            <w:noWrap/>
            <w:tcMar>
              <w:top w:w="0" w:type="dxa"/>
              <w:left w:w="108" w:type="dxa"/>
              <w:bottom w:w="0" w:type="dxa"/>
              <w:right w:w="108" w:type="dxa"/>
            </w:tcMar>
            <w:vAlign w:val="bottom"/>
            <w:hideMark/>
          </w:tcPr>
          <w:p w14:paraId="45C82CAA" w14:textId="77777777" w:rsidR="003440C1" w:rsidRDefault="003440C1">
            <w:pPr>
              <w:spacing w:line="252" w:lineRule="auto"/>
              <w:jc w:val="center"/>
              <w:rPr>
                <w:b/>
                <w:bCs/>
                <w:color w:val="000000"/>
                <w:lang w:eastAsia="en-GB"/>
              </w:rPr>
            </w:pPr>
            <w:r>
              <w:rPr>
                <w:b/>
                <w:bCs/>
                <w:color w:val="000000"/>
                <w:lang w:eastAsia="en-GB"/>
              </w:rPr>
              <w:t>1</w:t>
            </w:r>
          </w:p>
        </w:tc>
        <w:tc>
          <w:tcPr>
            <w:tcW w:w="687" w:type="dxa"/>
            <w:noWrap/>
            <w:tcMar>
              <w:top w:w="0" w:type="dxa"/>
              <w:left w:w="108" w:type="dxa"/>
              <w:bottom w:w="0" w:type="dxa"/>
              <w:right w:w="108" w:type="dxa"/>
            </w:tcMar>
            <w:vAlign w:val="bottom"/>
            <w:hideMark/>
          </w:tcPr>
          <w:p w14:paraId="2B665F69" w14:textId="77777777" w:rsidR="003440C1" w:rsidRDefault="003440C1">
            <w:pPr>
              <w:spacing w:line="252" w:lineRule="auto"/>
              <w:jc w:val="center"/>
              <w:rPr>
                <w:b/>
                <w:bCs/>
                <w:color w:val="000000"/>
                <w:lang w:eastAsia="en-GB"/>
              </w:rPr>
            </w:pPr>
            <w:r>
              <w:rPr>
                <w:b/>
                <w:bCs/>
                <w:color w:val="000000"/>
                <w:lang w:eastAsia="en-GB"/>
              </w:rPr>
              <w:t>2</w:t>
            </w:r>
          </w:p>
        </w:tc>
        <w:tc>
          <w:tcPr>
            <w:tcW w:w="687" w:type="dxa"/>
            <w:noWrap/>
            <w:tcMar>
              <w:top w:w="0" w:type="dxa"/>
              <w:left w:w="108" w:type="dxa"/>
              <w:bottom w:w="0" w:type="dxa"/>
              <w:right w:w="108" w:type="dxa"/>
            </w:tcMar>
            <w:vAlign w:val="bottom"/>
            <w:hideMark/>
          </w:tcPr>
          <w:p w14:paraId="1166F6F8" w14:textId="77777777" w:rsidR="003440C1" w:rsidRDefault="003440C1">
            <w:pPr>
              <w:spacing w:line="252" w:lineRule="auto"/>
              <w:jc w:val="center"/>
              <w:rPr>
                <w:b/>
                <w:bCs/>
                <w:color w:val="000000"/>
                <w:lang w:eastAsia="en-GB"/>
              </w:rPr>
            </w:pPr>
            <w:r>
              <w:rPr>
                <w:b/>
                <w:bCs/>
                <w:color w:val="000000"/>
                <w:lang w:eastAsia="en-GB"/>
              </w:rPr>
              <w:t>0</w:t>
            </w:r>
          </w:p>
        </w:tc>
        <w:tc>
          <w:tcPr>
            <w:tcW w:w="687" w:type="dxa"/>
            <w:noWrap/>
            <w:tcMar>
              <w:top w:w="0" w:type="dxa"/>
              <w:left w:w="108" w:type="dxa"/>
              <w:bottom w:w="0" w:type="dxa"/>
              <w:right w:w="108" w:type="dxa"/>
            </w:tcMar>
            <w:vAlign w:val="bottom"/>
            <w:hideMark/>
          </w:tcPr>
          <w:p w14:paraId="361D47EF" w14:textId="77777777" w:rsidR="003440C1" w:rsidRDefault="003440C1">
            <w:pPr>
              <w:spacing w:line="252" w:lineRule="auto"/>
              <w:jc w:val="center"/>
              <w:rPr>
                <w:b/>
                <w:bCs/>
                <w:color w:val="000000"/>
                <w:lang w:eastAsia="en-GB"/>
              </w:rPr>
            </w:pPr>
            <w:r>
              <w:rPr>
                <w:b/>
                <w:bCs/>
                <w:color w:val="000000"/>
                <w:lang w:eastAsia="en-GB"/>
              </w:rPr>
              <w:t>8</w:t>
            </w:r>
          </w:p>
        </w:tc>
        <w:tc>
          <w:tcPr>
            <w:tcW w:w="687" w:type="dxa"/>
            <w:noWrap/>
            <w:tcMar>
              <w:top w:w="0" w:type="dxa"/>
              <w:left w:w="108" w:type="dxa"/>
              <w:bottom w:w="0" w:type="dxa"/>
              <w:right w:w="108" w:type="dxa"/>
            </w:tcMar>
            <w:vAlign w:val="bottom"/>
            <w:hideMark/>
          </w:tcPr>
          <w:p w14:paraId="1C5D6C60" w14:textId="77777777" w:rsidR="003440C1" w:rsidRDefault="003440C1">
            <w:pPr>
              <w:spacing w:line="252" w:lineRule="auto"/>
              <w:jc w:val="center"/>
              <w:rPr>
                <w:b/>
                <w:bCs/>
                <w:color w:val="000000"/>
                <w:lang w:eastAsia="en-GB"/>
              </w:rPr>
            </w:pPr>
            <w:r>
              <w:rPr>
                <w:b/>
                <w:bCs/>
                <w:color w:val="000000"/>
                <w:lang w:eastAsia="en-GB"/>
              </w:rPr>
              <w:t>1</w:t>
            </w:r>
          </w:p>
        </w:tc>
        <w:tc>
          <w:tcPr>
            <w:tcW w:w="972" w:type="dxa"/>
            <w:noWrap/>
            <w:tcMar>
              <w:top w:w="0" w:type="dxa"/>
              <w:left w:w="108" w:type="dxa"/>
              <w:bottom w:w="0" w:type="dxa"/>
              <w:right w:w="108" w:type="dxa"/>
            </w:tcMar>
            <w:vAlign w:val="bottom"/>
            <w:hideMark/>
          </w:tcPr>
          <w:p w14:paraId="47135C77" w14:textId="77777777" w:rsidR="003440C1" w:rsidRDefault="003440C1">
            <w:pPr>
              <w:spacing w:line="252" w:lineRule="auto"/>
              <w:jc w:val="center"/>
              <w:rPr>
                <w:b/>
                <w:bCs/>
                <w:color w:val="000000"/>
                <w:lang w:eastAsia="en-GB"/>
              </w:rPr>
            </w:pPr>
            <w:r>
              <w:rPr>
                <w:b/>
                <w:bCs/>
                <w:color w:val="000000"/>
                <w:lang w:eastAsia="en-GB"/>
              </w:rPr>
              <w:t>12</w:t>
            </w:r>
          </w:p>
        </w:tc>
      </w:tr>
    </w:tbl>
    <w:p w14:paraId="42147EC7" w14:textId="77777777" w:rsidR="003440C1" w:rsidRDefault="003440C1" w:rsidP="003440C1"/>
    <w:p w14:paraId="1B3F342B" w14:textId="24D46A67" w:rsidR="00A455E0" w:rsidRPr="000A065C" w:rsidRDefault="00A455E0" w:rsidP="00A455E0">
      <w:pPr>
        <w:rPr>
          <w:b/>
          <w:bCs/>
        </w:rPr>
      </w:pPr>
      <w:r w:rsidRPr="000A065C">
        <w:rPr>
          <w:b/>
          <w:bCs/>
        </w:rPr>
        <w:t>2. For each of these officers, I would like to know their caseloads for each quarter since January 2018.</w:t>
      </w:r>
    </w:p>
    <w:p w14:paraId="1E94C949" w14:textId="524DB6AC" w:rsidR="00A455E0" w:rsidRDefault="00A455E0" w:rsidP="00A455E0">
      <w:r>
        <w:t>January 2018 to April 2020 - this is not something which is routinely recorded so there is not data for these dates.</w:t>
      </w:r>
    </w:p>
    <w:p w14:paraId="654EA294" w14:textId="77777777" w:rsidR="00A455E0" w:rsidRDefault="00A455E0" w:rsidP="00A455E0"/>
    <w:p w14:paraId="3DAE5D9D" w14:textId="654A30B1" w:rsidR="00030B69" w:rsidRDefault="00A455E0" w:rsidP="00A455E0">
      <w:r>
        <w:t>April 2020 caseloads (2 officers per caseload)</w:t>
      </w:r>
      <w:r w:rsidR="00030B69">
        <w:t>:</w:t>
      </w:r>
    </w:p>
    <w:p w14:paraId="23767B30" w14:textId="77777777" w:rsidR="00A455E0" w:rsidRDefault="00A455E0" w:rsidP="00A455E0">
      <w:pPr>
        <w:pStyle w:val="ListParagraph"/>
        <w:numPr>
          <w:ilvl w:val="0"/>
          <w:numId w:val="1"/>
        </w:numPr>
        <w:rPr>
          <w:rFonts w:eastAsia="Times New Roman"/>
        </w:rPr>
      </w:pPr>
      <w:r>
        <w:rPr>
          <w:rFonts w:eastAsia="Times New Roman"/>
        </w:rPr>
        <w:t>Caseload 1 – 183</w:t>
      </w:r>
    </w:p>
    <w:p w14:paraId="136096D7" w14:textId="77777777" w:rsidR="00A455E0" w:rsidRDefault="00A455E0" w:rsidP="00A455E0">
      <w:pPr>
        <w:pStyle w:val="ListParagraph"/>
        <w:numPr>
          <w:ilvl w:val="0"/>
          <w:numId w:val="1"/>
        </w:numPr>
        <w:rPr>
          <w:rFonts w:eastAsia="Times New Roman"/>
        </w:rPr>
      </w:pPr>
      <w:r>
        <w:rPr>
          <w:rFonts w:eastAsia="Times New Roman"/>
        </w:rPr>
        <w:t>Caseload 2 – 196</w:t>
      </w:r>
    </w:p>
    <w:p w14:paraId="7B8764A2" w14:textId="77777777" w:rsidR="00A455E0" w:rsidRDefault="00A455E0" w:rsidP="00A455E0">
      <w:pPr>
        <w:pStyle w:val="ListParagraph"/>
        <w:numPr>
          <w:ilvl w:val="0"/>
          <w:numId w:val="1"/>
        </w:numPr>
        <w:rPr>
          <w:rFonts w:eastAsia="Times New Roman"/>
        </w:rPr>
      </w:pPr>
      <w:r>
        <w:rPr>
          <w:rFonts w:eastAsia="Times New Roman"/>
        </w:rPr>
        <w:t>Caseload 3 – 199</w:t>
      </w:r>
    </w:p>
    <w:p w14:paraId="142C9357" w14:textId="77777777" w:rsidR="00A455E0" w:rsidRDefault="00A455E0" w:rsidP="00A455E0">
      <w:pPr>
        <w:pStyle w:val="ListParagraph"/>
        <w:numPr>
          <w:ilvl w:val="0"/>
          <w:numId w:val="1"/>
        </w:numPr>
        <w:rPr>
          <w:rFonts w:eastAsia="Times New Roman"/>
        </w:rPr>
      </w:pPr>
      <w:r>
        <w:rPr>
          <w:rFonts w:eastAsia="Times New Roman"/>
        </w:rPr>
        <w:t>Caseload 4 – 185</w:t>
      </w:r>
    </w:p>
    <w:p w14:paraId="0D1D2715" w14:textId="77777777" w:rsidR="00A455E0" w:rsidRDefault="00A455E0" w:rsidP="00A455E0">
      <w:pPr>
        <w:pStyle w:val="ListParagraph"/>
        <w:numPr>
          <w:ilvl w:val="0"/>
          <w:numId w:val="1"/>
        </w:numPr>
        <w:rPr>
          <w:rFonts w:eastAsia="Times New Roman"/>
        </w:rPr>
      </w:pPr>
      <w:r>
        <w:rPr>
          <w:rFonts w:eastAsia="Times New Roman"/>
        </w:rPr>
        <w:t>Caseload 5 - 195</w:t>
      </w:r>
    </w:p>
    <w:p w14:paraId="32710621" w14:textId="77777777" w:rsidR="00A455E0" w:rsidRDefault="00A455E0" w:rsidP="00A455E0"/>
    <w:p w14:paraId="3504EDFD" w14:textId="6336E466" w:rsidR="00A455E0" w:rsidRDefault="00A455E0" w:rsidP="00A455E0">
      <w:r>
        <w:t>Aug 2020 caseloads (3 – 4 officers per caseload)</w:t>
      </w:r>
      <w:r w:rsidR="00030B69">
        <w:t>:</w:t>
      </w:r>
    </w:p>
    <w:p w14:paraId="192AE020" w14:textId="77777777" w:rsidR="00A455E0" w:rsidRDefault="00A455E0" w:rsidP="00A455E0">
      <w:pPr>
        <w:pStyle w:val="ListParagraph"/>
        <w:numPr>
          <w:ilvl w:val="0"/>
          <w:numId w:val="2"/>
        </w:numPr>
        <w:rPr>
          <w:rFonts w:eastAsia="Times New Roman"/>
        </w:rPr>
      </w:pPr>
      <w:r>
        <w:rPr>
          <w:rFonts w:eastAsia="Times New Roman"/>
        </w:rPr>
        <w:t>Caseload 1 – 577</w:t>
      </w:r>
    </w:p>
    <w:p w14:paraId="1CE4DD9B" w14:textId="77777777" w:rsidR="00A455E0" w:rsidRDefault="00A455E0" w:rsidP="00A455E0">
      <w:pPr>
        <w:pStyle w:val="ListParagraph"/>
        <w:numPr>
          <w:ilvl w:val="0"/>
          <w:numId w:val="2"/>
        </w:numPr>
        <w:rPr>
          <w:rFonts w:eastAsia="Times New Roman"/>
        </w:rPr>
      </w:pPr>
      <w:r>
        <w:rPr>
          <w:rFonts w:eastAsia="Times New Roman"/>
        </w:rPr>
        <w:t>Caseload 2 - 580</w:t>
      </w:r>
    </w:p>
    <w:p w14:paraId="13163CB5" w14:textId="77777777" w:rsidR="00A455E0" w:rsidRDefault="00A455E0" w:rsidP="00A455E0"/>
    <w:p w14:paraId="5723A479" w14:textId="5D538196" w:rsidR="00A455E0" w:rsidRDefault="00A455E0" w:rsidP="00A455E0">
      <w:r>
        <w:t>Oct 2020 caseloads (2 officers per caseload)</w:t>
      </w:r>
      <w:r w:rsidR="00030B69">
        <w:t>:</w:t>
      </w:r>
    </w:p>
    <w:p w14:paraId="0D69A30E" w14:textId="6C23C888" w:rsidR="00A455E0" w:rsidRDefault="00A455E0" w:rsidP="00A455E0">
      <w:pPr>
        <w:pStyle w:val="ListParagraph"/>
        <w:numPr>
          <w:ilvl w:val="0"/>
          <w:numId w:val="3"/>
        </w:numPr>
        <w:rPr>
          <w:rFonts w:eastAsia="Times New Roman"/>
        </w:rPr>
      </w:pPr>
      <w:r>
        <w:rPr>
          <w:rFonts w:eastAsia="Times New Roman"/>
        </w:rPr>
        <w:t>Caseload 1 - 263</w:t>
      </w:r>
    </w:p>
    <w:p w14:paraId="28A1158C" w14:textId="77777777" w:rsidR="00A455E0" w:rsidRDefault="00A455E0" w:rsidP="00A455E0">
      <w:pPr>
        <w:pStyle w:val="ListParagraph"/>
        <w:numPr>
          <w:ilvl w:val="0"/>
          <w:numId w:val="3"/>
        </w:numPr>
        <w:rPr>
          <w:rFonts w:eastAsia="Times New Roman"/>
        </w:rPr>
      </w:pPr>
      <w:r>
        <w:rPr>
          <w:rFonts w:eastAsia="Times New Roman"/>
        </w:rPr>
        <w:t>Caseload 2 – 250</w:t>
      </w:r>
    </w:p>
    <w:p w14:paraId="46C45DF2" w14:textId="77777777" w:rsidR="00A455E0" w:rsidRDefault="00A455E0" w:rsidP="00A455E0">
      <w:pPr>
        <w:pStyle w:val="ListParagraph"/>
        <w:numPr>
          <w:ilvl w:val="0"/>
          <w:numId w:val="3"/>
        </w:numPr>
        <w:rPr>
          <w:rFonts w:eastAsia="Times New Roman"/>
        </w:rPr>
      </w:pPr>
      <w:r>
        <w:rPr>
          <w:rFonts w:eastAsia="Times New Roman"/>
        </w:rPr>
        <w:t>Caseload 3 – 255</w:t>
      </w:r>
    </w:p>
    <w:p w14:paraId="7654EEB1" w14:textId="77777777" w:rsidR="00A455E0" w:rsidRDefault="00A455E0" w:rsidP="00A455E0">
      <w:pPr>
        <w:pStyle w:val="ListParagraph"/>
        <w:numPr>
          <w:ilvl w:val="0"/>
          <w:numId w:val="3"/>
        </w:numPr>
        <w:rPr>
          <w:rFonts w:eastAsia="Times New Roman"/>
        </w:rPr>
      </w:pPr>
      <w:r>
        <w:rPr>
          <w:rFonts w:eastAsia="Times New Roman"/>
        </w:rPr>
        <w:t>Caseload 4 – 221</w:t>
      </w:r>
    </w:p>
    <w:p w14:paraId="3355FE14" w14:textId="77777777" w:rsidR="00A455E0" w:rsidRDefault="00A455E0" w:rsidP="00A455E0">
      <w:pPr>
        <w:pStyle w:val="ListParagraph"/>
        <w:numPr>
          <w:ilvl w:val="0"/>
          <w:numId w:val="3"/>
        </w:numPr>
        <w:rPr>
          <w:rFonts w:eastAsia="Times New Roman"/>
        </w:rPr>
      </w:pPr>
      <w:r>
        <w:rPr>
          <w:rFonts w:eastAsia="Times New Roman"/>
        </w:rPr>
        <w:t>Caseload 5 – 157</w:t>
      </w:r>
    </w:p>
    <w:p w14:paraId="05010FD3" w14:textId="77777777" w:rsidR="00A455E0" w:rsidRDefault="00A455E0" w:rsidP="00A455E0"/>
    <w:p w14:paraId="14C8BADE" w14:textId="74A4206A" w:rsidR="00A455E0" w:rsidRDefault="00A455E0" w:rsidP="00A455E0">
      <w:r>
        <w:t>Aug 22 (1 snr officer per caseload with support from 3 case officers)</w:t>
      </w:r>
      <w:r w:rsidR="00030B69">
        <w:t>:</w:t>
      </w:r>
    </w:p>
    <w:p w14:paraId="73B58660" w14:textId="77777777" w:rsidR="00A455E0" w:rsidRDefault="00A455E0" w:rsidP="00A455E0">
      <w:pPr>
        <w:pStyle w:val="ListParagraph"/>
        <w:numPr>
          <w:ilvl w:val="0"/>
          <w:numId w:val="4"/>
        </w:numPr>
        <w:rPr>
          <w:rFonts w:eastAsia="Times New Roman"/>
        </w:rPr>
      </w:pPr>
      <w:r>
        <w:rPr>
          <w:rFonts w:eastAsia="Times New Roman"/>
        </w:rPr>
        <w:t>Caseload 1 – 365</w:t>
      </w:r>
    </w:p>
    <w:p w14:paraId="15F105C4" w14:textId="77777777" w:rsidR="00A455E0" w:rsidRDefault="00A455E0" w:rsidP="00A455E0">
      <w:pPr>
        <w:pStyle w:val="ListParagraph"/>
        <w:numPr>
          <w:ilvl w:val="0"/>
          <w:numId w:val="4"/>
        </w:numPr>
        <w:rPr>
          <w:rFonts w:eastAsia="Times New Roman"/>
        </w:rPr>
      </w:pPr>
      <w:r>
        <w:rPr>
          <w:rFonts w:eastAsia="Times New Roman"/>
        </w:rPr>
        <w:t>Caseload 2 – 214</w:t>
      </w:r>
    </w:p>
    <w:p w14:paraId="5A76F177" w14:textId="77777777" w:rsidR="00A455E0" w:rsidRDefault="00A455E0" w:rsidP="00A455E0">
      <w:pPr>
        <w:pStyle w:val="ListParagraph"/>
        <w:numPr>
          <w:ilvl w:val="0"/>
          <w:numId w:val="4"/>
        </w:numPr>
        <w:rPr>
          <w:rFonts w:eastAsia="Times New Roman"/>
        </w:rPr>
      </w:pPr>
      <w:r>
        <w:rPr>
          <w:rFonts w:eastAsia="Times New Roman"/>
        </w:rPr>
        <w:t>Caseload 3 – 227</w:t>
      </w:r>
    </w:p>
    <w:p w14:paraId="201A4417" w14:textId="77777777" w:rsidR="00A455E0" w:rsidRDefault="00A455E0" w:rsidP="00A455E0">
      <w:pPr>
        <w:pStyle w:val="ListParagraph"/>
        <w:numPr>
          <w:ilvl w:val="0"/>
          <w:numId w:val="4"/>
        </w:numPr>
        <w:rPr>
          <w:rFonts w:eastAsia="Times New Roman"/>
        </w:rPr>
      </w:pPr>
      <w:r>
        <w:rPr>
          <w:rFonts w:eastAsia="Times New Roman"/>
        </w:rPr>
        <w:t>Caseload 4 – 331</w:t>
      </w:r>
    </w:p>
    <w:p w14:paraId="2AB2E260" w14:textId="77777777" w:rsidR="00A455E0" w:rsidRDefault="00A455E0" w:rsidP="00A455E0">
      <w:pPr>
        <w:pStyle w:val="ListParagraph"/>
        <w:numPr>
          <w:ilvl w:val="0"/>
          <w:numId w:val="4"/>
        </w:numPr>
        <w:rPr>
          <w:rFonts w:eastAsia="Times New Roman"/>
        </w:rPr>
      </w:pPr>
      <w:r>
        <w:rPr>
          <w:rFonts w:eastAsia="Times New Roman"/>
        </w:rPr>
        <w:t>Caseload 5 - 520</w:t>
      </w:r>
    </w:p>
    <w:p w14:paraId="3159FDA6" w14:textId="35D952FC" w:rsidR="00A455E0" w:rsidRDefault="00A455E0" w:rsidP="00A455E0">
      <w:r>
        <w:t>As per question 1 to 2 where we are requested to match the officers to the caseload this is not possible due to the many changes within the SEND Team since 2020.</w:t>
      </w:r>
    </w:p>
    <w:p w14:paraId="6D516DE7" w14:textId="4FDDCD2B" w:rsidR="000A065C" w:rsidRDefault="000A065C" w:rsidP="00A455E0"/>
    <w:p w14:paraId="24D13B60" w14:textId="4B767E8B" w:rsidR="00A455E0" w:rsidRPr="000A065C" w:rsidRDefault="00A455E0" w:rsidP="00A455E0">
      <w:pPr>
        <w:rPr>
          <w:b/>
          <w:bCs/>
        </w:rPr>
      </w:pPr>
      <w:r w:rsidRPr="000A065C">
        <w:rPr>
          <w:b/>
          <w:bCs/>
        </w:rPr>
        <w:lastRenderedPageBreak/>
        <w:t>3. I would like to also know how much has been spent on agency staff within the service since 2018, by each year. Please can this include the number of agency staff this is for.</w:t>
      </w:r>
    </w:p>
    <w:p w14:paraId="547D1A24" w14:textId="77777777" w:rsidR="00A455E0" w:rsidRPr="008D481F" w:rsidRDefault="00A455E0" w:rsidP="00A455E0">
      <w:pPr>
        <w:rPr>
          <w:color w:val="FF0000"/>
        </w:rPr>
      </w:pPr>
    </w:p>
    <w:tbl>
      <w:tblPr>
        <w:tblW w:w="8480" w:type="dxa"/>
        <w:tblCellMar>
          <w:left w:w="0" w:type="dxa"/>
          <w:right w:w="0" w:type="dxa"/>
        </w:tblCellMar>
        <w:tblLook w:val="04A0" w:firstRow="1" w:lastRow="0" w:firstColumn="1" w:lastColumn="0" w:noHBand="0" w:noVBand="1"/>
      </w:tblPr>
      <w:tblGrid>
        <w:gridCol w:w="1950"/>
        <w:gridCol w:w="1671"/>
        <w:gridCol w:w="1048"/>
        <w:gridCol w:w="1048"/>
        <w:gridCol w:w="1048"/>
        <w:gridCol w:w="1048"/>
        <w:gridCol w:w="1213"/>
      </w:tblGrid>
      <w:tr w:rsidR="002B1102" w14:paraId="4D104690" w14:textId="77777777" w:rsidTr="002B1102">
        <w:trPr>
          <w:trHeight w:val="288"/>
        </w:trPr>
        <w:tc>
          <w:tcPr>
            <w:tcW w:w="1960" w:type="dxa"/>
            <w:noWrap/>
            <w:tcMar>
              <w:top w:w="0" w:type="dxa"/>
              <w:left w:w="108" w:type="dxa"/>
              <w:bottom w:w="0" w:type="dxa"/>
              <w:right w:w="108" w:type="dxa"/>
            </w:tcMar>
            <w:vAlign w:val="bottom"/>
            <w:hideMark/>
          </w:tcPr>
          <w:p w14:paraId="3A37865F" w14:textId="77777777" w:rsidR="002B1102" w:rsidRPr="000A065C" w:rsidRDefault="002B1102">
            <w:pPr>
              <w:rPr>
                <w:b/>
                <w:bCs/>
                <w:color w:val="000000"/>
                <w:u w:val="single"/>
                <w:lang w:eastAsia="en-GB"/>
              </w:rPr>
            </w:pPr>
            <w:r w:rsidRPr="000A065C">
              <w:rPr>
                <w:b/>
                <w:bCs/>
                <w:color w:val="000000"/>
                <w:u w:val="single"/>
                <w:lang w:eastAsia="en-GB"/>
              </w:rPr>
              <w:t>AGENCY STAFF</w:t>
            </w:r>
          </w:p>
        </w:tc>
        <w:tc>
          <w:tcPr>
            <w:tcW w:w="1680" w:type="dxa"/>
            <w:noWrap/>
            <w:tcMar>
              <w:top w:w="0" w:type="dxa"/>
              <w:left w:w="108" w:type="dxa"/>
              <w:bottom w:w="0" w:type="dxa"/>
              <w:right w:w="108" w:type="dxa"/>
            </w:tcMar>
            <w:vAlign w:val="bottom"/>
            <w:hideMark/>
          </w:tcPr>
          <w:p w14:paraId="7F2AB1FD" w14:textId="77777777" w:rsidR="002B1102" w:rsidRDefault="002B1102">
            <w:pPr>
              <w:rPr>
                <w:b/>
                <w:bCs/>
                <w:color w:val="000000"/>
                <w:lang w:eastAsia="en-GB"/>
              </w:rPr>
            </w:pPr>
          </w:p>
        </w:tc>
        <w:tc>
          <w:tcPr>
            <w:tcW w:w="920" w:type="dxa"/>
            <w:noWrap/>
            <w:tcMar>
              <w:top w:w="0" w:type="dxa"/>
              <w:left w:w="108" w:type="dxa"/>
              <w:bottom w:w="0" w:type="dxa"/>
              <w:right w:w="108" w:type="dxa"/>
            </w:tcMar>
            <w:vAlign w:val="bottom"/>
            <w:hideMark/>
          </w:tcPr>
          <w:p w14:paraId="23FB420E"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7921D266"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21917F8E"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65D71EA9" w14:textId="77777777" w:rsidR="002B1102" w:rsidRDefault="002B1102">
            <w:pPr>
              <w:rPr>
                <w:rFonts w:ascii="Times New Roman" w:eastAsia="Times New Roman" w:hAnsi="Times New Roman" w:cs="Times New Roman"/>
                <w:sz w:val="20"/>
                <w:szCs w:val="20"/>
                <w:lang w:eastAsia="en-GB"/>
              </w:rPr>
            </w:pPr>
          </w:p>
        </w:tc>
        <w:tc>
          <w:tcPr>
            <w:tcW w:w="1160" w:type="dxa"/>
            <w:noWrap/>
            <w:tcMar>
              <w:top w:w="0" w:type="dxa"/>
              <w:left w:w="108" w:type="dxa"/>
              <w:bottom w:w="0" w:type="dxa"/>
              <w:right w:w="108" w:type="dxa"/>
            </w:tcMar>
            <w:vAlign w:val="bottom"/>
            <w:hideMark/>
          </w:tcPr>
          <w:p w14:paraId="08C01C74" w14:textId="77777777" w:rsidR="002B1102" w:rsidRDefault="002B1102">
            <w:pPr>
              <w:rPr>
                <w:rFonts w:ascii="Times New Roman" w:eastAsia="Times New Roman" w:hAnsi="Times New Roman" w:cs="Times New Roman"/>
                <w:sz w:val="20"/>
                <w:szCs w:val="20"/>
                <w:lang w:eastAsia="en-GB"/>
              </w:rPr>
            </w:pPr>
          </w:p>
        </w:tc>
      </w:tr>
      <w:tr w:rsidR="002B1102" w14:paraId="56829772" w14:textId="77777777" w:rsidTr="002B1102">
        <w:trPr>
          <w:trHeight w:val="288"/>
        </w:trPr>
        <w:tc>
          <w:tcPr>
            <w:tcW w:w="1960" w:type="dxa"/>
            <w:noWrap/>
            <w:tcMar>
              <w:top w:w="0" w:type="dxa"/>
              <w:left w:w="108" w:type="dxa"/>
              <w:bottom w:w="0" w:type="dxa"/>
              <w:right w:w="108" w:type="dxa"/>
            </w:tcMar>
            <w:vAlign w:val="bottom"/>
            <w:hideMark/>
          </w:tcPr>
          <w:p w14:paraId="046FD38A" w14:textId="77777777" w:rsidR="002B1102" w:rsidRDefault="002B1102">
            <w:pPr>
              <w:rPr>
                <w:rFonts w:ascii="Times New Roman" w:eastAsia="Times New Roman" w:hAnsi="Times New Roman" w:cs="Times New Roman"/>
                <w:sz w:val="20"/>
                <w:szCs w:val="20"/>
                <w:lang w:eastAsia="en-GB"/>
              </w:rPr>
            </w:pPr>
          </w:p>
        </w:tc>
        <w:tc>
          <w:tcPr>
            <w:tcW w:w="1680" w:type="dxa"/>
            <w:noWrap/>
            <w:tcMar>
              <w:top w:w="0" w:type="dxa"/>
              <w:left w:w="108" w:type="dxa"/>
              <w:bottom w:w="0" w:type="dxa"/>
              <w:right w:w="108" w:type="dxa"/>
            </w:tcMar>
            <w:vAlign w:val="bottom"/>
            <w:hideMark/>
          </w:tcPr>
          <w:p w14:paraId="511304B6"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61A8A111"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1D37F90C"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0759FC1B" w14:textId="77777777" w:rsidR="002B1102" w:rsidRDefault="002B1102">
            <w:pP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22295ADF" w14:textId="77777777" w:rsidR="002B1102" w:rsidRDefault="002B1102">
            <w:pPr>
              <w:rPr>
                <w:rFonts w:ascii="Times New Roman" w:eastAsia="Times New Roman" w:hAnsi="Times New Roman" w:cs="Times New Roman"/>
                <w:sz w:val="20"/>
                <w:szCs w:val="20"/>
                <w:lang w:eastAsia="en-GB"/>
              </w:rPr>
            </w:pPr>
          </w:p>
        </w:tc>
        <w:tc>
          <w:tcPr>
            <w:tcW w:w="1160" w:type="dxa"/>
            <w:noWrap/>
            <w:tcMar>
              <w:top w:w="0" w:type="dxa"/>
              <w:left w:w="108" w:type="dxa"/>
              <w:bottom w:w="0" w:type="dxa"/>
              <w:right w:w="108" w:type="dxa"/>
            </w:tcMar>
            <w:vAlign w:val="bottom"/>
            <w:hideMark/>
          </w:tcPr>
          <w:p w14:paraId="278FE64B" w14:textId="77777777" w:rsidR="002B1102" w:rsidRDefault="002B1102">
            <w:pPr>
              <w:rPr>
                <w:rFonts w:ascii="Times New Roman" w:eastAsia="Times New Roman" w:hAnsi="Times New Roman" w:cs="Times New Roman"/>
                <w:sz w:val="20"/>
                <w:szCs w:val="20"/>
                <w:lang w:eastAsia="en-GB"/>
              </w:rPr>
            </w:pPr>
          </w:p>
        </w:tc>
      </w:tr>
      <w:tr w:rsidR="002B1102" w14:paraId="16800AF7" w14:textId="77777777" w:rsidTr="002B1102">
        <w:trPr>
          <w:trHeight w:val="288"/>
        </w:trPr>
        <w:tc>
          <w:tcPr>
            <w:tcW w:w="1960" w:type="dxa"/>
            <w:noWrap/>
            <w:tcMar>
              <w:top w:w="0" w:type="dxa"/>
              <w:left w:w="108" w:type="dxa"/>
              <w:bottom w:w="0" w:type="dxa"/>
              <w:right w:w="108" w:type="dxa"/>
            </w:tcMar>
            <w:vAlign w:val="bottom"/>
            <w:hideMark/>
          </w:tcPr>
          <w:p w14:paraId="6AF8E633" w14:textId="5FFC6CB8" w:rsidR="002B1102" w:rsidRDefault="002B1102">
            <w:pPr>
              <w:rPr>
                <w:b/>
                <w:bCs/>
                <w:color w:val="000000"/>
                <w:lang w:eastAsia="en-GB"/>
              </w:rPr>
            </w:pPr>
            <w:r>
              <w:rPr>
                <w:b/>
                <w:bCs/>
                <w:color w:val="000000"/>
                <w:lang w:eastAsia="en-GB"/>
              </w:rPr>
              <w:t xml:space="preserve">Financial Year </w:t>
            </w:r>
          </w:p>
        </w:tc>
        <w:tc>
          <w:tcPr>
            <w:tcW w:w="1680" w:type="dxa"/>
            <w:noWrap/>
            <w:tcMar>
              <w:top w:w="0" w:type="dxa"/>
              <w:left w:w="108" w:type="dxa"/>
              <w:bottom w:w="0" w:type="dxa"/>
              <w:right w:w="108" w:type="dxa"/>
            </w:tcMar>
            <w:vAlign w:val="bottom"/>
            <w:hideMark/>
          </w:tcPr>
          <w:p w14:paraId="69A4210B" w14:textId="77777777" w:rsidR="002B1102" w:rsidRDefault="002B1102">
            <w:pPr>
              <w:jc w:val="right"/>
              <w:rPr>
                <w:b/>
                <w:bCs/>
                <w:color w:val="000000"/>
                <w:lang w:eastAsia="en-GB"/>
              </w:rPr>
            </w:pPr>
            <w:r>
              <w:rPr>
                <w:b/>
                <w:bCs/>
                <w:color w:val="000000"/>
                <w:lang w:eastAsia="en-GB"/>
              </w:rPr>
              <w:t>2018/19</w:t>
            </w:r>
          </w:p>
        </w:tc>
        <w:tc>
          <w:tcPr>
            <w:tcW w:w="920" w:type="dxa"/>
            <w:noWrap/>
            <w:tcMar>
              <w:top w:w="0" w:type="dxa"/>
              <w:left w:w="108" w:type="dxa"/>
              <w:bottom w:w="0" w:type="dxa"/>
              <w:right w:w="108" w:type="dxa"/>
            </w:tcMar>
            <w:vAlign w:val="bottom"/>
            <w:hideMark/>
          </w:tcPr>
          <w:p w14:paraId="5894A033" w14:textId="77777777" w:rsidR="002B1102" w:rsidRDefault="002B1102">
            <w:pPr>
              <w:jc w:val="right"/>
              <w:rPr>
                <w:b/>
                <w:bCs/>
                <w:color w:val="000000"/>
                <w:lang w:eastAsia="en-GB"/>
              </w:rPr>
            </w:pPr>
            <w:r>
              <w:rPr>
                <w:b/>
                <w:bCs/>
                <w:color w:val="000000"/>
                <w:lang w:eastAsia="en-GB"/>
              </w:rPr>
              <w:t>2019/20</w:t>
            </w:r>
          </w:p>
        </w:tc>
        <w:tc>
          <w:tcPr>
            <w:tcW w:w="920" w:type="dxa"/>
            <w:noWrap/>
            <w:tcMar>
              <w:top w:w="0" w:type="dxa"/>
              <w:left w:w="108" w:type="dxa"/>
              <w:bottom w:w="0" w:type="dxa"/>
              <w:right w:w="108" w:type="dxa"/>
            </w:tcMar>
            <w:vAlign w:val="bottom"/>
            <w:hideMark/>
          </w:tcPr>
          <w:p w14:paraId="58D2B25F" w14:textId="77777777" w:rsidR="002B1102" w:rsidRDefault="002B1102">
            <w:pPr>
              <w:jc w:val="right"/>
              <w:rPr>
                <w:b/>
                <w:bCs/>
                <w:color w:val="000000"/>
                <w:lang w:eastAsia="en-GB"/>
              </w:rPr>
            </w:pPr>
            <w:r>
              <w:rPr>
                <w:b/>
                <w:bCs/>
                <w:color w:val="000000"/>
                <w:lang w:eastAsia="en-GB"/>
              </w:rPr>
              <w:t>2020/21</w:t>
            </w:r>
          </w:p>
        </w:tc>
        <w:tc>
          <w:tcPr>
            <w:tcW w:w="920" w:type="dxa"/>
            <w:noWrap/>
            <w:tcMar>
              <w:top w:w="0" w:type="dxa"/>
              <w:left w:w="108" w:type="dxa"/>
              <w:bottom w:w="0" w:type="dxa"/>
              <w:right w:w="108" w:type="dxa"/>
            </w:tcMar>
            <w:vAlign w:val="bottom"/>
            <w:hideMark/>
          </w:tcPr>
          <w:p w14:paraId="2611CB4B" w14:textId="77777777" w:rsidR="002B1102" w:rsidRDefault="002B1102">
            <w:pPr>
              <w:jc w:val="right"/>
              <w:rPr>
                <w:b/>
                <w:bCs/>
                <w:color w:val="000000"/>
                <w:lang w:eastAsia="en-GB"/>
              </w:rPr>
            </w:pPr>
            <w:r>
              <w:rPr>
                <w:b/>
                <w:bCs/>
                <w:color w:val="000000"/>
                <w:lang w:eastAsia="en-GB"/>
              </w:rPr>
              <w:t>2021/22</w:t>
            </w:r>
          </w:p>
        </w:tc>
        <w:tc>
          <w:tcPr>
            <w:tcW w:w="920" w:type="dxa"/>
            <w:shd w:val="clear" w:color="auto" w:fill="FFFF00"/>
            <w:noWrap/>
            <w:tcMar>
              <w:top w:w="0" w:type="dxa"/>
              <w:left w:w="108" w:type="dxa"/>
              <w:bottom w:w="0" w:type="dxa"/>
              <w:right w:w="108" w:type="dxa"/>
            </w:tcMar>
            <w:vAlign w:val="bottom"/>
            <w:hideMark/>
          </w:tcPr>
          <w:p w14:paraId="13B0BB7D" w14:textId="77777777" w:rsidR="002B1102" w:rsidRDefault="002B1102">
            <w:pPr>
              <w:jc w:val="right"/>
              <w:rPr>
                <w:b/>
                <w:bCs/>
                <w:color w:val="000000"/>
                <w:lang w:eastAsia="en-GB"/>
              </w:rPr>
            </w:pPr>
            <w:r>
              <w:rPr>
                <w:b/>
                <w:bCs/>
                <w:color w:val="000000"/>
                <w:lang w:eastAsia="en-GB"/>
              </w:rPr>
              <w:t>2022/23</w:t>
            </w:r>
          </w:p>
        </w:tc>
        <w:tc>
          <w:tcPr>
            <w:tcW w:w="1160" w:type="dxa"/>
            <w:noWrap/>
            <w:tcMar>
              <w:top w:w="0" w:type="dxa"/>
              <w:left w:w="108" w:type="dxa"/>
              <w:bottom w:w="0" w:type="dxa"/>
              <w:right w:w="108" w:type="dxa"/>
            </w:tcMar>
            <w:vAlign w:val="bottom"/>
            <w:hideMark/>
          </w:tcPr>
          <w:p w14:paraId="7E156992" w14:textId="77777777" w:rsidR="002B1102" w:rsidRDefault="002B1102">
            <w:pPr>
              <w:jc w:val="right"/>
              <w:rPr>
                <w:b/>
                <w:bCs/>
                <w:color w:val="000000"/>
                <w:lang w:eastAsia="en-GB"/>
              </w:rPr>
            </w:pPr>
            <w:r>
              <w:rPr>
                <w:b/>
                <w:bCs/>
                <w:color w:val="000000"/>
                <w:lang w:eastAsia="en-GB"/>
              </w:rPr>
              <w:t>TOTAL</w:t>
            </w:r>
          </w:p>
        </w:tc>
      </w:tr>
      <w:tr w:rsidR="002B1102" w14:paraId="5C5CE886" w14:textId="77777777" w:rsidTr="002B1102">
        <w:trPr>
          <w:trHeight w:val="288"/>
        </w:trPr>
        <w:tc>
          <w:tcPr>
            <w:tcW w:w="1960" w:type="dxa"/>
            <w:noWrap/>
            <w:tcMar>
              <w:top w:w="0" w:type="dxa"/>
              <w:left w:w="108" w:type="dxa"/>
              <w:bottom w:w="0" w:type="dxa"/>
              <w:right w:w="108" w:type="dxa"/>
            </w:tcMar>
            <w:vAlign w:val="bottom"/>
            <w:hideMark/>
          </w:tcPr>
          <w:p w14:paraId="49316233" w14:textId="77777777" w:rsidR="002B1102" w:rsidRDefault="002B1102">
            <w:pPr>
              <w:rPr>
                <w:b/>
                <w:bCs/>
                <w:color w:val="000000"/>
                <w:lang w:eastAsia="en-GB"/>
              </w:rPr>
            </w:pPr>
          </w:p>
        </w:tc>
        <w:tc>
          <w:tcPr>
            <w:tcW w:w="1680" w:type="dxa"/>
            <w:noWrap/>
            <w:tcMar>
              <w:top w:w="0" w:type="dxa"/>
              <w:left w:w="108" w:type="dxa"/>
              <w:bottom w:w="0" w:type="dxa"/>
              <w:right w:w="108" w:type="dxa"/>
            </w:tcMar>
            <w:vAlign w:val="bottom"/>
            <w:hideMark/>
          </w:tcPr>
          <w:p w14:paraId="06910869" w14:textId="77777777" w:rsidR="002B1102"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04FC5B5F" w14:textId="77777777" w:rsidR="002B1102"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6049F9F7" w14:textId="77777777" w:rsidR="002B1102"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11076A40" w14:textId="77777777" w:rsidR="002B1102" w:rsidRDefault="002B1102" w:rsidP="000A065C">
            <w:pPr>
              <w:jc w:val="center"/>
              <w:rPr>
                <w:rFonts w:ascii="Times New Roman" w:eastAsia="Times New Roman" w:hAnsi="Times New Roman" w:cs="Times New Roman"/>
                <w:sz w:val="20"/>
                <w:szCs w:val="20"/>
                <w:lang w:eastAsia="en-GB"/>
              </w:rPr>
            </w:pPr>
          </w:p>
        </w:tc>
        <w:tc>
          <w:tcPr>
            <w:tcW w:w="920" w:type="dxa"/>
            <w:shd w:val="clear" w:color="auto" w:fill="FFFF00"/>
            <w:noWrap/>
            <w:tcMar>
              <w:top w:w="0" w:type="dxa"/>
              <w:left w:w="108" w:type="dxa"/>
              <w:bottom w:w="0" w:type="dxa"/>
              <w:right w:w="108" w:type="dxa"/>
            </w:tcMar>
            <w:vAlign w:val="bottom"/>
            <w:hideMark/>
          </w:tcPr>
          <w:p w14:paraId="6483D3D8" w14:textId="77777777" w:rsidR="002B1102" w:rsidRDefault="002B1102" w:rsidP="000A065C">
            <w:pPr>
              <w:jc w:val="center"/>
              <w:rPr>
                <w:b/>
                <w:bCs/>
                <w:color w:val="000000"/>
                <w:lang w:eastAsia="en-GB"/>
              </w:rPr>
            </w:pPr>
            <w:r>
              <w:rPr>
                <w:b/>
                <w:bCs/>
                <w:color w:val="000000"/>
                <w:lang w:eastAsia="en-GB"/>
              </w:rPr>
              <w:t>Part Year</w:t>
            </w:r>
          </w:p>
        </w:tc>
        <w:tc>
          <w:tcPr>
            <w:tcW w:w="1160" w:type="dxa"/>
            <w:noWrap/>
            <w:tcMar>
              <w:top w:w="0" w:type="dxa"/>
              <w:left w:w="108" w:type="dxa"/>
              <w:bottom w:w="0" w:type="dxa"/>
              <w:right w:w="108" w:type="dxa"/>
            </w:tcMar>
            <w:vAlign w:val="bottom"/>
            <w:hideMark/>
          </w:tcPr>
          <w:p w14:paraId="3062E0F5" w14:textId="77777777" w:rsidR="002B1102" w:rsidRDefault="002B1102" w:rsidP="000A065C">
            <w:pPr>
              <w:jc w:val="center"/>
              <w:rPr>
                <w:b/>
                <w:bCs/>
                <w:color w:val="000000"/>
                <w:lang w:eastAsia="en-GB"/>
              </w:rPr>
            </w:pPr>
          </w:p>
        </w:tc>
      </w:tr>
      <w:tr w:rsidR="002B1102" w:rsidRPr="000A065C" w14:paraId="59E9FEED" w14:textId="77777777" w:rsidTr="002B1102">
        <w:trPr>
          <w:trHeight w:val="288"/>
        </w:trPr>
        <w:tc>
          <w:tcPr>
            <w:tcW w:w="1960" w:type="dxa"/>
            <w:noWrap/>
            <w:tcMar>
              <w:top w:w="0" w:type="dxa"/>
              <w:left w:w="108" w:type="dxa"/>
              <w:bottom w:w="0" w:type="dxa"/>
              <w:right w:w="108" w:type="dxa"/>
            </w:tcMar>
            <w:vAlign w:val="bottom"/>
            <w:hideMark/>
          </w:tcPr>
          <w:p w14:paraId="73514E7E" w14:textId="2438D49F" w:rsidR="002B1102" w:rsidRDefault="002B1102">
            <w:pPr>
              <w:rPr>
                <w:b/>
                <w:bCs/>
                <w:color w:val="000000"/>
                <w:lang w:eastAsia="en-GB"/>
              </w:rPr>
            </w:pPr>
            <w:r>
              <w:rPr>
                <w:b/>
                <w:bCs/>
                <w:color w:val="000000"/>
                <w:lang w:eastAsia="en-GB"/>
              </w:rPr>
              <w:t>No.</w:t>
            </w:r>
            <w:r w:rsidR="00D76566">
              <w:rPr>
                <w:b/>
                <w:bCs/>
                <w:color w:val="000000"/>
                <w:lang w:eastAsia="en-GB"/>
              </w:rPr>
              <w:t xml:space="preserve"> </w:t>
            </w:r>
            <w:r>
              <w:rPr>
                <w:b/>
                <w:bCs/>
                <w:color w:val="000000"/>
                <w:lang w:eastAsia="en-GB"/>
              </w:rPr>
              <w:t>of Agency Staff</w:t>
            </w:r>
          </w:p>
        </w:tc>
        <w:tc>
          <w:tcPr>
            <w:tcW w:w="1680" w:type="dxa"/>
            <w:noWrap/>
            <w:tcMar>
              <w:top w:w="0" w:type="dxa"/>
              <w:left w:w="108" w:type="dxa"/>
              <w:bottom w:w="0" w:type="dxa"/>
              <w:right w:w="108" w:type="dxa"/>
            </w:tcMar>
            <w:vAlign w:val="bottom"/>
            <w:hideMark/>
          </w:tcPr>
          <w:p w14:paraId="113D349B" w14:textId="77777777" w:rsidR="002B1102" w:rsidRPr="000A065C" w:rsidRDefault="002B1102" w:rsidP="000A065C">
            <w:pPr>
              <w:jc w:val="center"/>
              <w:rPr>
                <w:color w:val="000000"/>
                <w:lang w:eastAsia="en-GB"/>
              </w:rPr>
            </w:pPr>
            <w:r w:rsidRPr="000A065C">
              <w:rPr>
                <w:color w:val="000000"/>
                <w:lang w:eastAsia="en-GB"/>
              </w:rPr>
              <w:t>2</w:t>
            </w:r>
          </w:p>
        </w:tc>
        <w:tc>
          <w:tcPr>
            <w:tcW w:w="920" w:type="dxa"/>
            <w:noWrap/>
            <w:tcMar>
              <w:top w:w="0" w:type="dxa"/>
              <w:left w:w="108" w:type="dxa"/>
              <w:bottom w:w="0" w:type="dxa"/>
              <w:right w:w="108" w:type="dxa"/>
            </w:tcMar>
            <w:vAlign w:val="bottom"/>
            <w:hideMark/>
          </w:tcPr>
          <w:p w14:paraId="7417E975" w14:textId="77777777" w:rsidR="002B1102" w:rsidRPr="000A065C" w:rsidRDefault="002B1102" w:rsidP="000A065C">
            <w:pPr>
              <w:jc w:val="center"/>
              <w:rPr>
                <w:color w:val="000000"/>
                <w:lang w:eastAsia="en-GB"/>
              </w:rPr>
            </w:pPr>
            <w:r w:rsidRPr="000A065C">
              <w:rPr>
                <w:color w:val="000000"/>
                <w:lang w:eastAsia="en-GB"/>
              </w:rPr>
              <w:t>13</w:t>
            </w:r>
          </w:p>
        </w:tc>
        <w:tc>
          <w:tcPr>
            <w:tcW w:w="920" w:type="dxa"/>
            <w:noWrap/>
            <w:tcMar>
              <w:top w:w="0" w:type="dxa"/>
              <w:left w:w="108" w:type="dxa"/>
              <w:bottom w:w="0" w:type="dxa"/>
              <w:right w:w="108" w:type="dxa"/>
            </w:tcMar>
            <w:vAlign w:val="bottom"/>
            <w:hideMark/>
          </w:tcPr>
          <w:p w14:paraId="546434D3" w14:textId="77777777" w:rsidR="002B1102" w:rsidRPr="000A065C" w:rsidRDefault="002B1102" w:rsidP="000A065C">
            <w:pPr>
              <w:jc w:val="center"/>
              <w:rPr>
                <w:color w:val="000000"/>
                <w:lang w:eastAsia="en-GB"/>
              </w:rPr>
            </w:pPr>
            <w:r w:rsidRPr="000A065C">
              <w:rPr>
                <w:color w:val="000000"/>
                <w:lang w:eastAsia="en-GB"/>
              </w:rPr>
              <w:t>15</w:t>
            </w:r>
          </w:p>
        </w:tc>
        <w:tc>
          <w:tcPr>
            <w:tcW w:w="920" w:type="dxa"/>
            <w:noWrap/>
            <w:tcMar>
              <w:top w:w="0" w:type="dxa"/>
              <w:left w:w="108" w:type="dxa"/>
              <w:bottom w:w="0" w:type="dxa"/>
              <w:right w:w="108" w:type="dxa"/>
            </w:tcMar>
            <w:vAlign w:val="bottom"/>
            <w:hideMark/>
          </w:tcPr>
          <w:p w14:paraId="234B5E4B" w14:textId="77777777" w:rsidR="002B1102" w:rsidRPr="000A065C" w:rsidRDefault="002B1102" w:rsidP="000A065C">
            <w:pPr>
              <w:jc w:val="center"/>
              <w:rPr>
                <w:color w:val="000000"/>
                <w:lang w:eastAsia="en-GB"/>
              </w:rPr>
            </w:pPr>
            <w:r w:rsidRPr="000A065C">
              <w:rPr>
                <w:color w:val="000000"/>
                <w:lang w:eastAsia="en-GB"/>
              </w:rPr>
              <w:t>21</w:t>
            </w:r>
          </w:p>
        </w:tc>
        <w:tc>
          <w:tcPr>
            <w:tcW w:w="920" w:type="dxa"/>
            <w:noWrap/>
            <w:tcMar>
              <w:top w:w="0" w:type="dxa"/>
              <w:left w:w="108" w:type="dxa"/>
              <w:bottom w:w="0" w:type="dxa"/>
              <w:right w:w="108" w:type="dxa"/>
            </w:tcMar>
            <w:vAlign w:val="bottom"/>
            <w:hideMark/>
          </w:tcPr>
          <w:p w14:paraId="1D6D1C58" w14:textId="77777777" w:rsidR="002B1102" w:rsidRPr="000A065C" w:rsidRDefault="002B1102" w:rsidP="000A065C">
            <w:pPr>
              <w:jc w:val="center"/>
              <w:rPr>
                <w:color w:val="000000"/>
                <w:lang w:eastAsia="en-GB"/>
              </w:rPr>
            </w:pPr>
            <w:r w:rsidRPr="000A065C">
              <w:rPr>
                <w:color w:val="000000"/>
                <w:lang w:eastAsia="en-GB"/>
              </w:rPr>
              <w:t>14</w:t>
            </w:r>
          </w:p>
        </w:tc>
        <w:tc>
          <w:tcPr>
            <w:tcW w:w="1160" w:type="dxa"/>
            <w:noWrap/>
            <w:tcMar>
              <w:top w:w="0" w:type="dxa"/>
              <w:left w:w="108" w:type="dxa"/>
              <w:bottom w:w="0" w:type="dxa"/>
              <w:right w:w="108" w:type="dxa"/>
            </w:tcMar>
            <w:vAlign w:val="bottom"/>
            <w:hideMark/>
          </w:tcPr>
          <w:p w14:paraId="7DE51F2D" w14:textId="77777777" w:rsidR="002B1102" w:rsidRPr="000A065C" w:rsidRDefault="002B1102" w:rsidP="000A065C">
            <w:pPr>
              <w:jc w:val="center"/>
              <w:rPr>
                <w:color w:val="000000"/>
                <w:lang w:eastAsia="en-GB"/>
              </w:rPr>
            </w:pPr>
            <w:r w:rsidRPr="000A065C">
              <w:rPr>
                <w:color w:val="000000"/>
                <w:lang w:eastAsia="en-GB"/>
              </w:rPr>
              <w:t>65</w:t>
            </w:r>
          </w:p>
        </w:tc>
      </w:tr>
      <w:tr w:rsidR="002B1102" w:rsidRPr="000A065C" w14:paraId="482E19FF" w14:textId="77777777" w:rsidTr="002B1102">
        <w:trPr>
          <w:trHeight w:val="288"/>
        </w:trPr>
        <w:tc>
          <w:tcPr>
            <w:tcW w:w="1960" w:type="dxa"/>
            <w:noWrap/>
            <w:tcMar>
              <w:top w:w="0" w:type="dxa"/>
              <w:left w:w="108" w:type="dxa"/>
              <w:bottom w:w="0" w:type="dxa"/>
              <w:right w:w="108" w:type="dxa"/>
            </w:tcMar>
            <w:vAlign w:val="bottom"/>
            <w:hideMark/>
          </w:tcPr>
          <w:p w14:paraId="00E5B46D" w14:textId="77777777" w:rsidR="002B1102" w:rsidRDefault="002B1102">
            <w:pPr>
              <w:rPr>
                <w:b/>
                <w:bCs/>
                <w:color w:val="000000"/>
                <w:lang w:eastAsia="en-GB"/>
              </w:rPr>
            </w:pPr>
          </w:p>
        </w:tc>
        <w:tc>
          <w:tcPr>
            <w:tcW w:w="1680" w:type="dxa"/>
            <w:noWrap/>
            <w:tcMar>
              <w:top w:w="0" w:type="dxa"/>
              <w:left w:w="108" w:type="dxa"/>
              <w:bottom w:w="0" w:type="dxa"/>
              <w:right w:w="108" w:type="dxa"/>
            </w:tcMar>
            <w:vAlign w:val="bottom"/>
            <w:hideMark/>
          </w:tcPr>
          <w:p w14:paraId="07476369" w14:textId="77777777" w:rsidR="002B1102" w:rsidRPr="000A065C"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58BD7442" w14:textId="77777777" w:rsidR="002B1102" w:rsidRPr="000A065C"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7721E765" w14:textId="77777777" w:rsidR="002B1102" w:rsidRPr="000A065C"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6AB706EC" w14:textId="77777777" w:rsidR="002B1102" w:rsidRPr="000A065C" w:rsidRDefault="002B1102" w:rsidP="000A065C">
            <w:pPr>
              <w:jc w:val="center"/>
              <w:rPr>
                <w:rFonts w:ascii="Times New Roman" w:eastAsia="Times New Roman" w:hAnsi="Times New Roman" w:cs="Times New Roman"/>
                <w:sz w:val="20"/>
                <w:szCs w:val="20"/>
                <w:lang w:eastAsia="en-GB"/>
              </w:rPr>
            </w:pPr>
          </w:p>
        </w:tc>
        <w:tc>
          <w:tcPr>
            <w:tcW w:w="920" w:type="dxa"/>
            <w:noWrap/>
            <w:tcMar>
              <w:top w:w="0" w:type="dxa"/>
              <w:left w:w="108" w:type="dxa"/>
              <w:bottom w:w="0" w:type="dxa"/>
              <w:right w:w="108" w:type="dxa"/>
            </w:tcMar>
            <w:vAlign w:val="bottom"/>
            <w:hideMark/>
          </w:tcPr>
          <w:p w14:paraId="0A91880B" w14:textId="77777777" w:rsidR="002B1102" w:rsidRPr="000A065C" w:rsidRDefault="002B1102" w:rsidP="000A065C">
            <w:pPr>
              <w:jc w:val="center"/>
              <w:rPr>
                <w:rFonts w:ascii="Times New Roman" w:eastAsia="Times New Roman" w:hAnsi="Times New Roman" w:cs="Times New Roman"/>
                <w:sz w:val="20"/>
                <w:szCs w:val="20"/>
                <w:lang w:eastAsia="en-GB"/>
              </w:rPr>
            </w:pPr>
          </w:p>
        </w:tc>
        <w:tc>
          <w:tcPr>
            <w:tcW w:w="1160" w:type="dxa"/>
            <w:noWrap/>
            <w:tcMar>
              <w:top w:w="0" w:type="dxa"/>
              <w:left w:w="108" w:type="dxa"/>
              <w:bottom w:w="0" w:type="dxa"/>
              <w:right w:w="108" w:type="dxa"/>
            </w:tcMar>
            <w:vAlign w:val="bottom"/>
            <w:hideMark/>
          </w:tcPr>
          <w:p w14:paraId="0C1CCE96" w14:textId="77777777" w:rsidR="002B1102" w:rsidRPr="000A065C" w:rsidRDefault="002B1102" w:rsidP="000A065C">
            <w:pPr>
              <w:jc w:val="center"/>
              <w:rPr>
                <w:rFonts w:ascii="Times New Roman" w:eastAsia="Times New Roman" w:hAnsi="Times New Roman" w:cs="Times New Roman"/>
                <w:sz w:val="20"/>
                <w:szCs w:val="20"/>
                <w:lang w:eastAsia="en-GB"/>
              </w:rPr>
            </w:pPr>
          </w:p>
        </w:tc>
      </w:tr>
      <w:tr w:rsidR="002B1102" w:rsidRPr="000A065C" w14:paraId="177E1AB3" w14:textId="77777777" w:rsidTr="002B1102">
        <w:trPr>
          <w:trHeight w:val="300"/>
        </w:trPr>
        <w:tc>
          <w:tcPr>
            <w:tcW w:w="1960" w:type="dxa"/>
            <w:noWrap/>
            <w:tcMar>
              <w:top w:w="0" w:type="dxa"/>
              <w:left w:w="108" w:type="dxa"/>
              <w:bottom w:w="0" w:type="dxa"/>
              <w:right w:w="108" w:type="dxa"/>
            </w:tcMar>
            <w:vAlign w:val="bottom"/>
            <w:hideMark/>
          </w:tcPr>
          <w:p w14:paraId="2BA82CBF" w14:textId="77777777" w:rsidR="002B1102" w:rsidRDefault="002B1102">
            <w:pPr>
              <w:rPr>
                <w:b/>
                <w:bCs/>
                <w:color w:val="000000"/>
                <w:lang w:eastAsia="en-GB"/>
              </w:rPr>
            </w:pPr>
            <w:r>
              <w:rPr>
                <w:b/>
                <w:bCs/>
                <w:color w:val="000000"/>
                <w:lang w:eastAsia="en-GB"/>
              </w:rPr>
              <w:t>Cost of Agency Staff</w:t>
            </w:r>
          </w:p>
        </w:tc>
        <w:tc>
          <w:tcPr>
            <w:tcW w:w="168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DC95E72" w14:textId="77777777" w:rsidR="002B1102" w:rsidRPr="000A065C" w:rsidRDefault="002B1102" w:rsidP="000A065C">
            <w:pPr>
              <w:jc w:val="center"/>
              <w:rPr>
                <w:color w:val="000000"/>
                <w:lang w:eastAsia="en-GB"/>
              </w:rPr>
            </w:pPr>
            <w:r w:rsidRPr="000A065C">
              <w:rPr>
                <w:color w:val="000000"/>
                <w:lang w:eastAsia="en-GB"/>
              </w:rPr>
              <w:t>£24,000</w:t>
            </w:r>
          </w:p>
        </w:tc>
        <w:tc>
          <w:tcPr>
            <w:tcW w:w="92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1392B0E" w14:textId="77777777" w:rsidR="002B1102" w:rsidRPr="000A065C" w:rsidRDefault="002B1102" w:rsidP="000A065C">
            <w:pPr>
              <w:jc w:val="center"/>
              <w:rPr>
                <w:color w:val="000000"/>
                <w:lang w:eastAsia="en-GB"/>
              </w:rPr>
            </w:pPr>
            <w:r w:rsidRPr="000A065C">
              <w:rPr>
                <w:color w:val="000000"/>
                <w:lang w:eastAsia="en-GB"/>
              </w:rPr>
              <w:t>£172,400</w:t>
            </w:r>
          </w:p>
        </w:tc>
        <w:tc>
          <w:tcPr>
            <w:tcW w:w="92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935AACD" w14:textId="77777777" w:rsidR="002B1102" w:rsidRPr="000A065C" w:rsidRDefault="002B1102" w:rsidP="000A065C">
            <w:pPr>
              <w:jc w:val="center"/>
              <w:rPr>
                <w:color w:val="000000"/>
                <w:lang w:eastAsia="en-GB"/>
              </w:rPr>
            </w:pPr>
            <w:r w:rsidRPr="000A065C">
              <w:rPr>
                <w:color w:val="000000"/>
                <w:lang w:eastAsia="en-GB"/>
              </w:rPr>
              <w:t>£673,400</w:t>
            </w:r>
          </w:p>
        </w:tc>
        <w:tc>
          <w:tcPr>
            <w:tcW w:w="92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4AE657D5" w14:textId="77777777" w:rsidR="002B1102" w:rsidRPr="000A065C" w:rsidRDefault="002B1102" w:rsidP="000A065C">
            <w:pPr>
              <w:jc w:val="center"/>
              <w:rPr>
                <w:color w:val="000000"/>
                <w:lang w:eastAsia="en-GB"/>
              </w:rPr>
            </w:pPr>
            <w:r w:rsidRPr="000A065C">
              <w:rPr>
                <w:color w:val="000000"/>
                <w:lang w:eastAsia="en-GB"/>
              </w:rPr>
              <w:t>£737,800</w:t>
            </w:r>
          </w:p>
        </w:tc>
        <w:tc>
          <w:tcPr>
            <w:tcW w:w="92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01C46CA9" w14:textId="77777777" w:rsidR="002B1102" w:rsidRPr="000A065C" w:rsidRDefault="002B1102" w:rsidP="000A065C">
            <w:pPr>
              <w:jc w:val="center"/>
              <w:rPr>
                <w:color w:val="000000"/>
                <w:lang w:eastAsia="en-GB"/>
              </w:rPr>
            </w:pPr>
            <w:r w:rsidRPr="000A065C">
              <w:rPr>
                <w:color w:val="000000"/>
                <w:lang w:eastAsia="en-GB"/>
              </w:rPr>
              <w:t>£440,100</w:t>
            </w:r>
          </w:p>
        </w:tc>
        <w:tc>
          <w:tcPr>
            <w:tcW w:w="1160"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14:paraId="6789408C" w14:textId="77777777" w:rsidR="002B1102" w:rsidRPr="000A065C" w:rsidRDefault="002B1102" w:rsidP="000A065C">
            <w:pPr>
              <w:jc w:val="center"/>
              <w:rPr>
                <w:color w:val="000000"/>
                <w:lang w:eastAsia="en-GB"/>
              </w:rPr>
            </w:pPr>
            <w:r w:rsidRPr="000A065C">
              <w:rPr>
                <w:color w:val="000000"/>
                <w:lang w:eastAsia="en-GB"/>
              </w:rPr>
              <w:t>£2,047,700</w:t>
            </w:r>
          </w:p>
        </w:tc>
      </w:tr>
    </w:tbl>
    <w:p w14:paraId="5BD2F55B" w14:textId="77777777" w:rsidR="002B1102" w:rsidRDefault="002B1102" w:rsidP="002B1102"/>
    <w:p w14:paraId="1540E87F" w14:textId="77777777" w:rsidR="002B1102" w:rsidRPr="008D481F" w:rsidRDefault="002B1102" w:rsidP="00A455E0">
      <w:pPr>
        <w:rPr>
          <w:color w:val="FF0000"/>
        </w:rPr>
      </w:pPr>
    </w:p>
    <w:p w14:paraId="5F78DA74" w14:textId="3903D430" w:rsidR="00A455E0" w:rsidRPr="000A065C" w:rsidRDefault="00A455E0" w:rsidP="00A455E0">
      <w:pPr>
        <w:rPr>
          <w:b/>
          <w:bCs/>
        </w:rPr>
      </w:pPr>
      <w:r w:rsidRPr="000A065C">
        <w:rPr>
          <w:b/>
          <w:bCs/>
        </w:rPr>
        <w:t>4. I would like to know how much has been spent on consultants for the service since 2018, by each year. Please can this include the name of consultants and hours spent if possible.</w:t>
      </w:r>
    </w:p>
    <w:p w14:paraId="3444A47B" w14:textId="55963209" w:rsidR="000F70B9" w:rsidRPr="000F70B9" w:rsidRDefault="000F70B9" w:rsidP="00A455E0">
      <w:pPr>
        <w:rPr>
          <w:rFonts w:asciiTheme="minorHAnsi" w:hAnsiTheme="minorHAnsi" w:cstheme="minorHAnsi"/>
          <w:color w:val="222222"/>
          <w:shd w:val="clear" w:color="auto" w:fill="FFFFFF"/>
        </w:rPr>
      </w:pPr>
      <w:r w:rsidRPr="000F70B9">
        <w:rPr>
          <w:rFonts w:asciiTheme="minorHAnsi" w:hAnsiTheme="minorHAnsi" w:cstheme="minorHAnsi"/>
        </w:rPr>
        <w:t xml:space="preserve">This information is available on our website by searching and filtering our published </w:t>
      </w:r>
      <w:r w:rsidRPr="000F70B9">
        <w:rPr>
          <w:rFonts w:asciiTheme="minorHAnsi" w:hAnsiTheme="minorHAnsi" w:cstheme="minorHAnsi"/>
          <w:color w:val="222222"/>
          <w:shd w:val="clear" w:color="auto" w:fill="FFFFFF"/>
        </w:rPr>
        <w:t>Supplier spend</w:t>
      </w:r>
      <w:r w:rsidRPr="000F70B9">
        <w:rPr>
          <w:rFonts w:asciiTheme="minorHAnsi" w:hAnsiTheme="minorHAnsi" w:cstheme="minorHAnsi"/>
          <w:color w:val="222222"/>
          <w:shd w:val="clear" w:color="auto" w:fill="FFFFFF"/>
        </w:rPr>
        <w:t xml:space="preserve">. </w:t>
      </w:r>
      <w:r w:rsidRPr="000F70B9">
        <w:rPr>
          <w:rFonts w:asciiTheme="minorHAnsi" w:hAnsiTheme="minorHAnsi" w:cstheme="minorHAnsi"/>
          <w:color w:val="222222"/>
          <w:shd w:val="clear" w:color="auto" w:fill="FFFFFF"/>
        </w:rPr>
        <w:t xml:space="preserve"> </w:t>
      </w:r>
      <w:hyperlink r:id="rId7" w:history="1">
        <w:r w:rsidRPr="000F70B9">
          <w:rPr>
            <w:rStyle w:val="Hyperlink"/>
            <w:rFonts w:asciiTheme="minorHAnsi" w:hAnsiTheme="minorHAnsi" w:cstheme="minorHAnsi"/>
            <w:shd w:val="clear" w:color="auto" w:fill="FFFFFF"/>
          </w:rPr>
          <w:t>http://www.wokingham.gov.uk/council-and-meetings/open-data/datasets-and-open-data/?categoryesctl91f252ff-550d-4cfa-a838-92ef2cb5f83c=7776</w:t>
        </w:r>
      </w:hyperlink>
    </w:p>
    <w:p w14:paraId="673EA901" w14:textId="73EA8E07" w:rsidR="000F70B9" w:rsidRPr="000F70B9" w:rsidRDefault="000F70B9" w:rsidP="00A455E0">
      <w:pPr>
        <w:rPr>
          <w:rFonts w:asciiTheme="minorHAnsi" w:hAnsiTheme="minorHAnsi" w:cstheme="minorHAnsi"/>
        </w:rPr>
      </w:pPr>
      <w:r w:rsidRPr="000F70B9">
        <w:rPr>
          <w:rFonts w:asciiTheme="minorHAnsi" w:hAnsiTheme="minorHAnsi" w:cstheme="minorHAnsi"/>
        </w:rPr>
        <w:t>E</w:t>
      </w:r>
      <w:r w:rsidRPr="000F70B9">
        <w:rPr>
          <w:rFonts w:asciiTheme="minorHAnsi" w:hAnsiTheme="minorHAnsi" w:cstheme="minorHAnsi"/>
        </w:rPr>
        <w:t>xample attached for 2022 filtered for SEND consultancy</w:t>
      </w:r>
      <w:r w:rsidRPr="000F70B9">
        <w:rPr>
          <w:rFonts w:asciiTheme="minorHAnsi" w:hAnsiTheme="minorHAnsi" w:cstheme="minorHAnsi"/>
        </w:rPr>
        <w:t>.</w:t>
      </w:r>
    </w:p>
    <w:p w14:paraId="7F0E7B5A" w14:textId="77777777" w:rsidR="002B1102" w:rsidRDefault="002B1102" w:rsidP="00A455E0"/>
    <w:p w14:paraId="463B0E10" w14:textId="41EFC1C7" w:rsidR="00A455E0" w:rsidRPr="000A065C" w:rsidRDefault="00A455E0" w:rsidP="00A455E0">
      <w:pPr>
        <w:rPr>
          <w:b/>
          <w:bCs/>
        </w:rPr>
      </w:pPr>
      <w:r w:rsidRPr="000A065C">
        <w:rPr>
          <w:b/>
          <w:bCs/>
        </w:rPr>
        <w:t xml:space="preserve">5. Please can I request the number of overall consultations (right to consult during an EHCP process) with schools that were rejected since 2018. Please can this be broken down by school type and by each year. </w:t>
      </w:r>
    </w:p>
    <w:p w14:paraId="507734EA" w14:textId="73834B22" w:rsidR="00A455E0" w:rsidRDefault="000A065C" w:rsidP="00A455E0">
      <w:r>
        <w:t xml:space="preserve">We do not report on this. </w:t>
      </w:r>
      <w:r w:rsidR="00A455E0" w:rsidRPr="00A455E0">
        <w:t xml:space="preserve">This would take over 18 hrs as we have no system in place to be able to track this so we would need to go through all individual pupil files since 2018. </w:t>
      </w:r>
      <w:r>
        <w:t xml:space="preserve">This </w:t>
      </w:r>
      <w:r w:rsidR="00A455E0">
        <w:t>would be 1600 files and you’d be looking at about 15 mins per file (on average)</w:t>
      </w:r>
      <w:r w:rsidR="002B1102">
        <w:t>.</w:t>
      </w:r>
      <w:r>
        <w:t xml:space="preserve"> (Section 12)</w:t>
      </w:r>
    </w:p>
    <w:sectPr w:rsidR="00A455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F985" w14:textId="77777777" w:rsidR="008C27EE" w:rsidRDefault="008C27EE" w:rsidP="00A455E0">
      <w:r>
        <w:separator/>
      </w:r>
    </w:p>
  </w:endnote>
  <w:endnote w:type="continuationSeparator" w:id="0">
    <w:p w14:paraId="6D9CE9AE" w14:textId="77777777" w:rsidR="008C27EE" w:rsidRDefault="008C27EE" w:rsidP="00A4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C37F" w14:textId="361B3A64" w:rsidR="00A455E0" w:rsidRDefault="00A4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1C67" w14:textId="77777777" w:rsidR="008C27EE" w:rsidRDefault="008C27EE" w:rsidP="00A455E0">
      <w:r>
        <w:separator/>
      </w:r>
    </w:p>
  </w:footnote>
  <w:footnote w:type="continuationSeparator" w:id="0">
    <w:p w14:paraId="1276DE8A" w14:textId="77777777" w:rsidR="008C27EE" w:rsidRDefault="008C27EE" w:rsidP="00A4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C41"/>
    <w:multiLevelType w:val="hybridMultilevel"/>
    <w:tmpl w:val="6EE49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6409B4"/>
    <w:multiLevelType w:val="hybridMultilevel"/>
    <w:tmpl w:val="C228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E8560C"/>
    <w:multiLevelType w:val="hybridMultilevel"/>
    <w:tmpl w:val="B442C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AF1811"/>
    <w:multiLevelType w:val="hybridMultilevel"/>
    <w:tmpl w:val="F064DE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8052D8"/>
    <w:multiLevelType w:val="hybridMultilevel"/>
    <w:tmpl w:val="E9F86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2012645">
    <w:abstractNumId w:val="2"/>
  </w:num>
  <w:num w:numId="2" w16cid:durableId="556167544">
    <w:abstractNumId w:val="4"/>
  </w:num>
  <w:num w:numId="3" w16cid:durableId="1184321615">
    <w:abstractNumId w:val="1"/>
  </w:num>
  <w:num w:numId="4" w16cid:durableId="1568149306">
    <w:abstractNumId w:val="0"/>
  </w:num>
  <w:num w:numId="5" w16cid:durableId="50995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E0"/>
    <w:rsid w:val="00030B69"/>
    <w:rsid w:val="000369BC"/>
    <w:rsid w:val="000667CB"/>
    <w:rsid w:val="000A065C"/>
    <w:rsid w:val="000F70B9"/>
    <w:rsid w:val="001C0A65"/>
    <w:rsid w:val="002B1102"/>
    <w:rsid w:val="003440C1"/>
    <w:rsid w:val="00613712"/>
    <w:rsid w:val="008C27EE"/>
    <w:rsid w:val="008D481F"/>
    <w:rsid w:val="00A455E0"/>
    <w:rsid w:val="00C73155"/>
    <w:rsid w:val="00D76566"/>
    <w:rsid w:val="00DE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08BC"/>
  <w15:chartTrackingRefBased/>
  <w15:docId w15:val="{CD589357-CD9A-49BD-81AD-8C73EDA3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5E0"/>
    <w:pPr>
      <w:ind w:left="720"/>
    </w:pPr>
  </w:style>
  <w:style w:type="paragraph" w:styleId="Header">
    <w:name w:val="header"/>
    <w:basedOn w:val="Normal"/>
    <w:link w:val="HeaderChar"/>
    <w:uiPriority w:val="99"/>
    <w:unhideWhenUsed/>
    <w:rsid w:val="00A455E0"/>
    <w:pPr>
      <w:tabs>
        <w:tab w:val="center" w:pos="4513"/>
        <w:tab w:val="right" w:pos="9026"/>
      </w:tabs>
    </w:pPr>
  </w:style>
  <w:style w:type="character" w:customStyle="1" w:styleId="HeaderChar">
    <w:name w:val="Header Char"/>
    <w:basedOn w:val="DefaultParagraphFont"/>
    <w:link w:val="Header"/>
    <w:uiPriority w:val="99"/>
    <w:rsid w:val="00A455E0"/>
    <w:rPr>
      <w:rFonts w:ascii="Calibri" w:hAnsi="Calibri" w:cs="Calibri"/>
    </w:rPr>
  </w:style>
  <w:style w:type="paragraph" w:styleId="Footer">
    <w:name w:val="footer"/>
    <w:basedOn w:val="Normal"/>
    <w:link w:val="FooterChar"/>
    <w:uiPriority w:val="99"/>
    <w:unhideWhenUsed/>
    <w:rsid w:val="00A455E0"/>
    <w:pPr>
      <w:tabs>
        <w:tab w:val="center" w:pos="4513"/>
        <w:tab w:val="right" w:pos="9026"/>
      </w:tabs>
    </w:pPr>
  </w:style>
  <w:style w:type="character" w:customStyle="1" w:styleId="FooterChar">
    <w:name w:val="Footer Char"/>
    <w:basedOn w:val="DefaultParagraphFont"/>
    <w:link w:val="Footer"/>
    <w:uiPriority w:val="99"/>
    <w:rsid w:val="00A455E0"/>
    <w:rPr>
      <w:rFonts w:ascii="Calibri" w:hAnsi="Calibri" w:cs="Calibri"/>
    </w:rPr>
  </w:style>
  <w:style w:type="character" w:styleId="Hyperlink">
    <w:name w:val="Hyperlink"/>
    <w:basedOn w:val="DefaultParagraphFont"/>
    <w:uiPriority w:val="99"/>
    <w:unhideWhenUsed/>
    <w:rsid w:val="000F70B9"/>
    <w:rPr>
      <w:color w:val="0563C1" w:themeColor="hyperlink"/>
      <w:u w:val="single"/>
    </w:rPr>
  </w:style>
  <w:style w:type="character" w:styleId="UnresolvedMention">
    <w:name w:val="Unresolved Mention"/>
    <w:basedOn w:val="DefaultParagraphFont"/>
    <w:uiPriority w:val="99"/>
    <w:semiHidden/>
    <w:unhideWhenUsed/>
    <w:rsid w:val="000F7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0185">
      <w:bodyDiv w:val="1"/>
      <w:marLeft w:val="0"/>
      <w:marRight w:val="0"/>
      <w:marTop w:val="0"/>
      <w:marBottom w:val="0"/>
      <w:divBdr>
        <w:top w:val="none" w:sz="0" w:space="0" w:color="auto"/>
        <w:left w:val="none" w:sz="0" w:space="0" w:color="auto"/>
        <w:bottom w:val="none" w:sz="0" w:space="0" w:color="auto"/>
        <w:right w:val="none" w:sz="0" w:space="0" w:color="auto"/>
      </w:divBdr>
    </w:div>
    <w:div w:id="392896556">
      <w:bodyDiv w:val="1"/>
      <w:marLeft w:val="0"/>
      <w:marRight w:val="0"/>
      <w:marTop w:val="0"/>
      <w:marBottom w:val="0"/>
      <w:divBdr>
        <w:top w:val="none" w:sz="0" w:space="0" w:color="auto"/>
        <w:left w:val="none" w:sz="0" w:space="0" w:color="auto"/>
        <w:bottom w:val="none" w:sz="0" w:space="0" w:color="auto"/>
        <w:right w:val="none" w:sz="0" w:space="0" w:color="auto"/>
      </w:divBdr>
    </w:div>
    <w:div w:id="422722241">
      <w:bodyDiv w:val="1"/>
      <w:marLeft w:val="0"/>
      <w:marRight w:val="0"/>
      <w:marTop w:val="0"/>
      <w:marBottom w:val="0"/>
      <w:divBdr>
        <w:top w:val="none" w:sz="0" w:space="0" w:color="auto"/>
        <w:left w:val="none" w:sz="0" w:space="0" w:color="auto"/>
        <w:bottom w:val="none" w:sz="0" w:space="0" w:color="auto"/>
        <w:right w:val="none" w:sz="0" w:space="0" w:color="auto"/>
      </w:divBdr>
    </w:div>
    <w:div w:id="780535106">
      <w:bodyDiv w:val="1"/>
      <w:marLeft w:val="0"/>
      <w:marRight w:val="0"/>
      <w:marTop w:val="0"/>
      <w:marBottom w:val="0"/>
      <w:divBdr>
        <w:top w:val="none" w:sz="0" w:space="0" w:color="auto"/>
        <w:left w:val="none" w:sz="0" w:space="0" w:color="auto"/>
        <w:bottom w:val="none" w:sz="0" w:space="0" w:color="auto"/>
        <w:right w:val="none" w:sz="0" w:space="0" w:color="auto"/>
      </w:divBdr>
    </w:div>
    <w:div w:id="1443957473">
      <w:bodyDiv w:val="1"/>
      <w:marLeft w:val="0"/>
      <w:marRight w:val="0"/>
      <w:marTop w:val="0"/>
      <w:marBottom w:val="0"/>
      <w:divBdr>
        <w:top w:val="none" w:sz="0" w:space="0" w:color="auto"/>
        <w:left w:val="none" w:sz="0" w:space="0" w:color="auto"/>
        <w:bottom w:val="none" w:sz="0" w:space="0" w:color="auto"/>
        <w:right w:val="none" w:sz="0" w:space="0" w:color="auto"/>
      </w:divBdr>
    </w:div>
    <w:div w:id="16165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kingham.gov.uk/council-and-meetings/open-data/datasets-and-open-data/?categoryesctl91f252ff-550d-4cfa-a838-92ef2cb5f83c=7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Frankie Lawrence</cp:lastModifiedBy>
  <cp:revision>2</cp:revision>
  <dcterms:created xsi:type="dcterms:W3CDTF">2023-03-02T11:14:00Z</dcterms:created>
  <dcterms:modified xsi:type="dcterms:W3CDTF">2023-03-02T11:14:00Z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2022-10-20T11:19:48Z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71fd2214-5cf3-4380-b38e-828ffbc466a9</vt:lpwstr>
  </property>
  <property fmtid="{D5CDD505-2E9C-101B-9397-08002B2CF9AE}" pid="8" name="MSIP_Label_d17f5eab-0951-45e7-baa9-357beec0b77b_ContentBits">
    <vt:lpwstr>0</vt:lpwstr>
  </property>
</Properties>
</file>