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00F1" w14:textId="6838F25F" w:rsidR="00B62710" w:rsidRDefault="00B62710" w:rsidP="00B62710">
      <w:pPr>
        <w:spacing w:after="240"/>
        <w:jc w:val="center"/>
        <w:rPr>
          <w:b/>
          <w:bCs/>
        </w:rPr>
      </w:pPr>
      <w:r w:rsidRPr="00B62710">
        <w:rPr>
          <w:b/>
          <w:bCs/>
          <w:u w:val="single"/>
        </w:rPr>
        <w:t>WBCIR:16372</w:t>
      </w:r>
    </w:p>
    <w:p w14:paraId="4B4CB169" w14:textId="6AFBF81B" w:rsidR="00B62710" w:rsidRPr="00B62710" w:rsidRDefault="00B62710" w:rsidP="00B62710">
      <w:pPr>
        <w:spacing w:after="240"/>
        <w:rPr>
          <w:b/>
          <w:bCs/>
        </w:rPr>
      </w:pPr>
      <w:r w:rsidRPr="00B62710">
        <w:rPr>
          <w:b/>
          <w:bCs/>
        </w:rPr>
        <w:t>I am writing to you under the Freedom of Information Act 2000 to request the following information from Wokingham Council's Transport Department. Please may you provide me with:</w:t>
      </w:r>
    </w:p>
    <w:p w14:paraId="583ED51F" w14:textId="4A6E847A" w:rsidR="00B62710" w:rsidRPr="00B62710" w:rsidRDefault="00B62710" w:rsidP="00B62710">
      <w:pPr>
        <w:spacing w:after="240"/>
        <w:rPr>
          <w:rFonts w:eastAsia="Times New Roman"/>
          <w:b/>
          <w:bCs/>
        </w:rPr>
      </w:pPr>
      <w:r>
        <w:rPr>
          <w:rFonts w:eastAsia="Times New Roman"/>
          <w:b/>
          <w:bCs/>
        </w:rPr>
        <w:t xml:space="preserve">1. </w:t>
      </w:r>
      <w:r w:rsidRPr="00B62710">
        <w:rPr>
          <w:rFonts w:eastAsia="Times New Roman"/>
          <w:b/>
          <w:bCs/>
        </w:rPr>
        <w:t>The councils 2021/2022, 2022/2023 &amp; 2023/2024 public transport budget and spend. Could this be broken down into spending for each transport category: Support Bus spend (Subsidised Bus), Commercial Bus spend, Home-to-School spend, SEN Transport spend, Community Transport spend, Student Transport spend, DRT spend (Demand Responsive Transport), Dial-a-Ride spend, NEMT spend (Non-Emergency Medical Transport) and any others I have missed.</w:t>
      </w:r>
    </w:p>
    <w:tbl>
      <w:tblPr>
        <w:tblW w:w="10011" w:type="dxa"/>
        <w:jc w:val="center"/>
        <w:tblCellMar>
          <w:left w:w="0" w:type="dxa"/>
          <w:right w:w="0" w:type="dxa"/>
        </w:tblCellMar>
        <w:tblLook w:val="04A0" w:firstRow="1" w:lastRow="0" w:firstColumn="1" w:lastColumn="0" w:noHBand="0" w:noVBand="1"/>
      </w:tblPr>
      <w:tblGrid>
        <w:gridCol w:w="2840"/>
        <w:gridCol w:w="1497"/>
        <w:gridCol w:w="1497"/>
        <w:gridCol w:w="1520"/>
        <w:gridCol w:w="1080"/>
        <w:gridCol w:w="960"/>
        <w:gridCol w:w="960"/>
      </w:tblGrid>
      <w:tr w:rsidR="00B62710" w14:paraId="4F96144F" w14:textId="77777777" w:rsidTr="00B62710">
        <w:trPr>
          <w:trHeight w:val="300"/>
          <w:jc w:val="center"/>
        </w:trPr>
        <w:tc>
          <w:tcPr>
            <w:tcW w:w="2840" w:type="dxa"/>
            <w:noWrap/>
            <w:tcMar>
              <w:top w:w="0" w:type="dxa"/>
              <w:left w:w="108" w:type="dxa"/>
              <w:bottom w:w="0" w:type="dxa"/>
              <w:right w:w="108" w:type="dxa"/>
            </w:tcMar>
            <w:vAlign w:val="bottom"/>
            <w:hideMark/>
          </w:tcPr>
          <w:p w14:paraId="7D82E724" w14:textId="77777777" w:rsidR="00B62710" w:rsidRDefault="00B62710">
            <w:pPr>
              <w:rPr>
                <w:b/>
                <w:bCs/>
                <w:color w:val="000000"/>
              </w:rPr>
            </w:pPr>
            <w:r>
              <w:rPr>
                <w:b/>
                <w:bCs/>
                <w:color w:val="000000"/>
              </w:rPr>
              <w:t>Type of Transport</w:t>
            </w:r>
          </w:p>
        </w:tc>
        <w:tc>
          <w:tcPr>
            <w:tcW w:w="1340" w:type="dxa"/>
            <w:noWrap/>
            <w:tcMar>
              <w:top w:w="0" w:type="dxa"/>
              <w:left w:w="108" w:type="dxa"/>
              <w:bottom w:w="0" w:type="dxa"/>
              <w:right w:w="108" w:type="dxa"/>
            </w:tcMar>
            <w:vAlign w:val="bottom"/>
            <w:hideMark/>
          </w:tcPr>
          <w:p w14:paraId="21EA4AF6" w14:textId="77777777" w:rsidR="00B62710" w:rsidRDefault="00B62710">
            <w:pPr>
              <w:rPr>
                <w:b/>
                <w:bCs/>
                <w:color w:val="000000"/>
              </w:rPr>
            </w:pPr>
            <w:r>
              <w:rPr>
                <w:b/>
                <w:bCs/>
                <w:color w:val="000000"/>
              </w:rPr>
              <w:t>21/22 Budget</w:t>
            </w:r>
          </w:p>
        </w:tc>
        <w:tc>
          <w:tcPr>
            <w:tcW w:w="1311" w:type="dxa"/>
            <w:noWrap/>
            <w:tcMar>
              <w:top w:w="0" w:type="dxa"/>
              <w:left w:w="108" w:type="dxa"/>
              <w:bottom w:w="0" w:type="dxa"/>
              <w:right w:w="108" w:type="dxa"/>
            </w:tcMar>
            <w:vAlign w:val="bottom"/>
            <w:hideMark/>
          </w:tcPr>
          <w:p w14:paraId="344A9503" w14:textId="77777777" w:rsidR="00B62710" w:rsidRDefault="00B62710">
            <w:pPr>
              <w:rPr>
                <w:b/>
                <w:bCs/>
                <w:color w:val="000000"/>
              </w:rPr>
            </w:pPr>
            <w:r>
              <w:rPr>
                <w:b/>
                <w:bCs/>
                <w:color w:val="000000"/>
              </w:rPr>
              <w:t>21/22 Spend</w:t>
            </w:r>
          </w:p>
        </w:tc>
        <w:tc>
          <w:tcPr>
            <w:tcW w:w="1520" w:type="dxa"/>
            <w:noWrap/>
            <w:tcMar>
              <w:top w:w="0" w:type="dxa"/>
              <w:left w:w="108" w:type="dxa"/>
              <w:bottom w:w="0" w:type="dxa"/>
              <w:right w:w="108" w:type="dxa"/>
            </w:tcMar>
            <w:vAlign w:val="bottom"/>
            <w:hideMark/>
          </w:tcPr>
          <w:p w14:paraId="2C435F2B" w14:textId="77777777" w:rsidR="00B62710" w:rsidRDefault="00B62710">
            <w:pPr>
              <w:rPr>
                <w:b/>
                <w:bCs/>
                <w:color w:val="000000"/>
              </w:rPr>
            </w:pPr>
            <w:r>
              <w:rPr>
                <w:b/>
                <w:bCs/>
                <w:color w:val="000000"/>
              </w:rPr>
              <w:t>22/23 Budget</w:t>
            </w:r>
          </w:p>
        </w:tc>
        <w:tc>
          <w:tcPr>
            <w:tcW w:w="1080" w:type="dxa"/>
            <w:noWrap/>
            <w:tcMar>
              <w:top w:w="0" w:type="dxa"/>
              <w:left w:w="108" w:type="dxa"/>
              <w:bottom w:w="0" w:type="dxa"/>
              <w:right w:w="108" w:type="dxa"/>
            </w:tcMar>
            <w:vAlign w:val="bottom"/>
            <w:hideMark/>
          </w:tcPr>
          <w:p w14:paraId="2FA6CE9C" w14:textId="77777777" w:rsidR="00B62710" w:rsidRDefault="00B62710">
            <w:pPr>
              <w:rPr>
                <w:b/>
                <w:bCs/>
                <w:color w:val="000000"/>
              </w:rPr>
            </w:pPr>
            <w:r>
              <w:rPr>
                <w:b/>
                <w:bCs/>
                <w:color w:val="000000"/>
              </w:rPr>
              <w:t>22/23 Spend</w:t>
            </w:r>
          </w:p>
        </w:tc>
        <w:tc>
          <w:tcPr>
            <w:tcW w:w="960" w:type="dxa"/>
            <w:noWrap/>
            <w:tcMar>
              <w:top w:w="0" w:type="dxa"/>
              <w:left w:w="108" w:type="dxa"/>
              <w:bottom w:w="0" w:type="dxa"/>
              <w:right w:w="108" w:type="dxa"/>
            </w:tcMar>
            <w:vAlign w:val="bottom"/>
            <w:hideMark/>
          </w:tcPr>
          <w:p w14:paraId="2D511648" w14:textId="77777777" w:rsidR="00B62710" w:rsidRDefault="00B62710">
            <w:pPr>
              <w:rPr>
                <w:b/>
                <w:bCs/>
                <w:color w:val="000000"/>
              </w:rPr>
            </w:pPr>
            <w:r>
              <w:rPr>
                <w:b/>
                <w:bCs/>
                <w:color w:val="000000"/>
              </w:rPr>
              <w:t>23/24 budget</w:t>
            </w:r>
          </w:p>
        </w:tc>
        <w:tc>
          <w:tcPr>
            <w:tcW w:w="960" w:type="dxa"/>
            <w:noWrap/>
            <w:tcMar>
              <w:top w:w="0" w:type="dxa"/>
              <w:left w:w="108" w:type="dxa"/>
              <w:bottom w:w="0" w:type="dxa"/>
              <w:right w:w="108" w:type="dxa"/>
            </w:tcMar>
            <w:vAlign w:val="bottom"/>
            <w:hideMark/>
          </w:tcPr>
          <w:p w14:paraId="1AD0994E" w14:textId="77777777" w:rsidR="00B62710" w:rsidRDefault="00B62710">
            <w:pPr>
              <w:rPr>
                <w:b/>
                <w:bCs/>
                <w:color w:val="000000"/>
              </w:rPr>
            </w:pPr>
            <w:r>
              <w:rPr>
                <w:b/>
                <w:bCs/>
                <w:color w:val="000000"/>
              </w:rPr>
              <w:t>23/24 Spend</w:t>
            </w:r>
          </w:p>
        </w:tc>
      </w:tr>
      <w:tr w:rsidR="00B62710" w14:paraId="110F98EF" w14:textId="77777777" w:rsidTr="00B62710">
        <w:trPr>
          <w:trHeight w:val="300"/>
          <w:jc w:val="center"/>
        </w:trPr>
        <w:tc>
          <w:tcPr>
            <w:tcW w:w="2840" w:type="dxa"/>
            <w:noWrap/>
            <w:tcMar>
              <w:top w:w="0" w:type="dxa"/>
              <w:left w:w="108" w:type="dxa"/>
              <w:bottom w:w="0" w:type="dxa"/>
              <w:right w:w="108" w:type="dxa"/>
            </w:tcMar>
            <w:vAlign w:val="bottom"/>
            <w:hideMark/>
          </w:tcPr>
          <w:p w14:paraId="4B9605C5" w14:textId="77777777" w:rsidR="00B62710" w:rsidRDefault="00B62710">
            <w:pPr>
              <w:rPr>
                <w:color w:val="000000"/>
              </w:rPr>
            </w:pPr>
            <w:r>
              <w:rPr>
                <w:color w:val="000000"/>
              </w:rPr>
              <w:t>Subsidised Bus</w:t>
            </w:r>
          </w:p>
        </w:tc>
        <w:tc>
          <w:tcPr>
            <w:tcW w:w="1340" w:type="dxa"/>
            <w:noWrap/>
            <w:tcMar>
              <w:top w:w="0" w:type="dxa"/>
              <w:left w:w="108" w:type="dxa"/>
              <w:bottom w:w="0" w:type="dxa"/>
              <w:right w:w="108" w:type="dxa"/>
            </w:tcMar>
            <w:vAlign w:val="bottom"/>
            <w:hideMark/>
          </w:tcPr>
          <w:p w14:paraId="5568460F" w14:textId="77777777" w:rsidR="00B62710" w:rsidRDefault="00B62710">
            <w:pPr>
              <w:jc w:val="right"/>
              <w:rPr>
                <w:color w:val="000000"/>
              </w:rPr>
            </w:pPr>
            <w:r>
              <w:rPr>
                <w:color w:val="000000"/>
              </w:rPr>
              <w:t>£834,661.51</w:t>
            </w:r>
          </w:p>
        </w:tc>
        <w:tc>
          <w:tcPr>
            <w:tcW w:w="1311" w:type="dxa"/>
            <w:noWrap/>
            <w:tcMar>
              <w:top w:w="0" w:type="dxa"/>
              <w:left w:w="108" w:type="dxa"/>
              <w:bottom w:w="0" w:type="dxa"/>
              <w:right w:w="108" w:type="dxa"/>
            </w:tcMar>
            <w:vAlign w:val="bottom"/>
            <w:hideMark/>
          </w:tcPr>
          <w:p w14:paraId="1C549215" w14:textId="77777777" w:rsidR="00B62710" w:rsidRDefault="00B62710">
            <w:pPr>
              <w:jc w:val="right"/>
              <w:rPr>
                <w:color w:val="000000"/>
              </w:rPr>
            </w:pPr>
            <w:r>
              <w:rPr>
                <w:color w:val="000000"/>
              </w:rPr>
              <w:t>£853,221.72</w:t>
            </w:r>
          </w:p>
        </w:tc>
        <w:tc>
          <w:tcPr>
            <w:tcW w:w="1520" w:type="dxa"/>
            <w:noWrap/>
            <w:tcMar>
              <w:top w:w="0" w:type="dxa"/>
              <w:left w:w="108" w:type="dxa"/>
              <w:bottom w:w="0" w:type="dxa"/>
              <w:right w:w="108" w:type="dxa"/>
            </w:tcMar>
            <w:vAlign w:val="bottom"/>
            <w:hideMark/>
          </w:tcPr>
          <w:p w14:paraId="7374E0EE" w14:textId="77777777" w:rsidR="00B62710" w:rsidRDefault="00B62710">
            <w:pPr>
              <w:jc w:val="center"/>
              <w:rPr>
                <w:color w:val="000000"/>
              </w:rPr>
            </w:pPr>
            <w:r>
              <w:rPr>
                <w:color w:val="000000"/>
              </w:rPr>
              <w:t>£688,710.00</w:t>
            </w:r>
          </w:p>
        </w:tc>
        <w:tc>
          <w:tcPr>
            <w:tcW w:w="1080" w:type="dxa"/>
            <w:noWrap/>
            <w:tcMar>
              <w:top w:w="0" w:type="dxa"/>
              <w:left w:w="108" w:type="dxa"/>
              <w:bottom w:w="0" w:type="dxa"/>
              <w:right w:w="108" w:type="dxa"/>
            </w:tcMar>
            <w:vAlign w:val="bottom"/>
            <w:hideMark/>
          </w:tcPr>
          <w:p w14:paraId="65E5F83B" w14:textId="77777777" w:rsidR="00B62710" w:rsidRDefault="00B62710">
            <w:pPr>
              <w:rPr>
                <w:color w:val="000000"/>
              </w:rPr>
            </w:pPr>
            <w:r>
              <w:rPr>
                <w:color w:val="000000"/>
              </w:rPr>
              <w:t>N/A</w:t>
            </w:r>
          </w:p>
        </w:tc>
        <w:tc>
          <w:tcPr>
            <w:tcW w:w="960" w:type="dxa"/>
            <w:noWrap/>
            <w:tcMar>
              <w:top w:w="0" w:type="dxa"/>
              <w:left w:w="108" w:type="dxa"/>
              <w:bottom w:w="0" w:type="dxa"/>
              <w:right w:w="108" w:type="dxa"/>
            </w:tcMar>
            <w:vAlign w:val="bottom"/>
            <w:hideMark/>
          </w:tcPr>
          <w:p w14:paraId="4270CD52" w14:textId="77777777" w:rsidR="00B62710" w:rsidRDefault="00B62710">
            <w:pPr>
              <w:rPr>
                <w:color w:val="000000"/>
              </w:rPr>
            </w:pPr>
            <w:r>
              <w:rPr>
                <w:color w:val="000000"/>
              </w:rPr>
              <w:t>TBC</w:t>
            </w:r>
          </w:p>
        </w:tc>
        <w:tc>
          <w:tcPr>
            <w:tcW w:w="960" w:type="dxa"/>
            <w:noWrap/>
            <w:tcMar>
              <w:top w:w="0" w:type="dxa"/>
              <w:left w:w="108" w:type="dxa"/>
              <w:bottom w:w="0" w:type="dxa"/>
              <w:right w:w="108" w:type="dxa"/>
            </w:tcMar>
            <w:vAlign w:val="bottom"/>
            <w:hideMark/>
          </w:tcPr>
          <w:p w14:paraId="7C818D1D" w14:textId="77777777" w:rsidR="00B62710" w:rsidRDefault="00B62710">
            <w:pPr>
              <w:rPr>
                <w:color w:val="000000"/>
              </w:rPr>
            </w:pPr>
            <w:r>
              <w:rPr>
                <w:color w:val="000000"/>
              </w:rPr>
              <w:t>N/A</w:t>
            </w:r>
          </w:p>
        </w:tc>
      </w:tr>
      <w:tr w:rsidR="00B62710" w14:paraId="434FFD07" w14:textId="77777777" w:rsidTr="00B62710">
        <w:trPr>
          <w:trHeight w:val="300"/>
          <w:jc w:val="center"/>
        </w:trPr>
        <w:tc>
          <w:tcPr>
            <w:tcW w:w="2840" w:type="dxa"/>
            <w:noWrap/>
            <w:tcMar>
              <w:top w:w="0" w:type="dxa"/>
              <w:left w:w="108" w:type="dxa"/>
              <w:bottom w:w="0" w:type="dxa"/>
              <w:right w:w="108" w:type="dxa"/>
            </w:tcMar>
            <w:vAlign w:val="bottom"/>
            <w:hideMark/>
          </w:tcPr>
          <w:p w14:paraId="1E6AC4FE" w14:textId="77777777" w:rsidR="00B62710" w:rsidRDefault="00B62710">
            <w:pPr>
              <w:rPr>
                <w:color w:val="000000"/>
              </w:rPr>
            </w:pPr>
            <w:r>
              <w:rPr>
                <w:color w:val="000000"/>
              </w:rPr>
              <w:t>Concessionary</w:t>
            </w:r>
          </w:p>
        </w:tc>
        <w:tc>
          <w:tcPr>
            <w:tcW w:w="1340" w:type="dxa"/>
            <w:noWrap/>
            <w:tcMar>
              <w:top w:w="0" w:type="dxa"/>
              <w:left w:w="108" w:type="dxa"/>
              <w:bottom w:w="0" w:type="dxa"/>
              <w:right w:w="108" w:type="dxa"/>
            </w:tcMar>
            <w:vAlign w:val="bottom"/>
            <w:hideMark/>
          </w:tcPr>
          <w:p w14:paraId="011418A6" w14:textId="77777777" w:rsidR="00B62710" w:rsidRDefault="00B62710">
            <w:pPr>
              <w:jc w:val="right"/>
              <w:rPr>
                <w:color w:val="000000"/>
              </w:rPr>
            </w:pPr>
            <w:r>
              <w:rPr>
                <w:color w:val="000000"/>
              </w:rPr>
              <w:t>£877,940.00</w:t>
            </w:r>
          </w:p>
        </w:tc>
        <w:tc>
          <w:tcPr>
            <w:tcW w:w="1311" w:type="dxa"/>
            <w:noWrap/>
            <w:tcMar>
              <w:top w:w="0" w:type="dxa"/>
              <w:left w:w="108" w:type="dxa"/>
              <w:bottom w:w="0" w:type="dxa"/>
              <w:right w:w="108" w:type="dxa"/>
            </w:tcMar>
            <w:vAlign w:val="bottom"/>
            <w:hideMark/>
          </w:tcPr>
          <w:p w14:paraId="7B0239A5" w14:textId="77777777" w:rsidR="00B62710" w:rsidRDefault="00B62710">
            <w:pPr>
              <w:jc w:val="right"/>
              <w:rPr>
                <w:color w:val="000000"/>
              </w:rPr>
            </w:pPr>
            <w:r>
              <w:rPr>
                <w:color w:val="000000"/>
              </w:rPr>
              <w:t>£819,247.51</w:t>
            </w:r>
          </w:p>
        </w:tc>
        <w:tc>
          <w:tcPr>
            <w:tcW w:w="1520" w:type="dxa"/>
            <w:noWrap/>
            <w:tcMar>
              <w:top w:w="0" w:type="dxa"/>
              <w:left w:w="108" w:type="dxa"/>
              <w:bottom w:w="0" w:type="dxa"/>
              <w:right w:w="108" w:type="dxa"/>
            </w:tcMar>
            <w:vAlign w:val="bottom"/>
            <w:hideMark/>
          </w:tcPr>
          <w:p w14:paraId="1F6A68A1" w14:textId="77777777" w:rsidR="00B62710" w:rsidRDefault="00B62710">
            <w:pPr>
              <w:jc w:val="right"/>
              <w:rPr>
                <w:color w:val="000000"/>
              </w:rPr>
            </w:pPr>
            <w:r>
              <w:rPr>
                <w:color w:val="000000"/>
              </w:rPr>
              <w:t>£957,940.00</w:t>
            </w:r>
          </w:p>
        </w:tc>
        <w:tc>
          <w:tcPr>
            <w:tcW w:w="1080" w:type="dxa"/>
            <w:noWrap/>
            <w:tcMar>
              <w:top w:w="0" w:type="dxa"/>
              <w:left w:w="108" w:type="dxa"/>
              <w:bottom w:w="0" w:type="dxa"/>
              <w:right w:w="108" w:type="dxa"/>
            </w:tcMar>
            <w:vAlign w:val="bottom"/>
            <w:hideMark/>
          </w:tcPr>
          <w:p w14:paraId="503CA6E7" w14:textId="77777777" w:rsidR="00B62710" w:rsidRDefault="00B62710">
            <w:pPr>
              <w:rPr>
                <w:color w:val="000000"/>
              </w:rPr>
            </w:pPr>
            <w:r>
              <w:rPr>
                <w:color w:val="000000"/>
              </w:rPr>
              <w:t>N/A</w:t>
            </w:r>
          </w:p>
        </w:tc>
        <w:tc>
          <w:tcPr>
            <w:tcW w:w="960" w:type="dxa"/>
            <w:noWrap/>
            <w:tcMar>
              <w:top w:w="0" w:type="dxa"/>
              <w:left w:w="108" w:type="dxa"/>
              <w:bottom w:w="0" w:type="dxa"/>
              <w:right w:w="108" w:type="dxa"/>
            </w:tcMar>
            <w:vAlign w:val="bottom"/>
            <w:hideMark/>
          </w:tcPr>
          <w:p w14:paraId="41DBD185" w14:textId="77777777" w:rsidR="00B62710" w:rsidRDefault="00B62710">
            <w:pPr>
              <w:rPr>
                <w:color w:val="000000"/>
              </w:rPr>
            </w:pPr>
            <w:r>
              <w:rPr>
                <w:color w:val="000000"/>
              </w:rPr>
              <w:t>TBC</w:t>
            </w:r>
          </w:p>
        </w:tc>
        <w:tc>
          <w:tcPr>
            <w:tcW w:w="960" w:type="dxa"/>
            <w:noWrap/>
            <w:tcMar>
              <w:top w:w="0" w:type="dxa"/>
              <w:left w:w="108" w:type="dxa"/>
              <w:bottom w:w="0" w:type="dxa"/>
              <w:right w:w="108" w:type="dxa"/>
            </w:tcMar>
            <w:vAlign w:val="bottom"/>
            <w:hideMark/>
          </w:tcPr>
          <w:p w14:paraId="2901C0D9" w14:textId="77777777" w:rsidR="00B62710" w:rsidRDefault="00B62710">
            <w:pPr>
              <w:rPr>
                <w:color w:val="000000"/>
              </w:rPr>
            </w:pPr>
            <w:r>
              <w:rPr>
                <w:color w:val="000000"/>
              </w:rPr>
              <w:t>N/A</w:t>
            </w:r>
          </w:p>
        </w:tc>
      </w:tr>
      <w:tr w:rsidR="00B62710" w14:paraId="0E728D44" w14:textId="77777777" w:rsidTr="00B62710">
        <w:trPr>
          <w:trHeight w:val="300"/>
          <w:jc w:val="center"/>
        </w:trPr>
        <w:tc>
          <w:tcPr>
            <w:tcW w:w="2840" w:type="dxa"/>
            <w:noWrap/>
            <w:tcMar>
              <w:top w:w="0" w:type="dxa"/>
              <w:left w:w="108" w:type="dxa"/>
              <w:bottom w:w="0" w:type="dxa"/>
              <w:right w:w="108" w:type="dxa"/>
            </w:tcMar>
            <w:vAlign w:val="bottom"/>
            <w:hideMark/>
          </w:tcPr>
          <w:p w14:paraId="6EAAD839" w14:textId="77777777" w:rsidR="00B62710" w:rsidRDefault="00B62710">
            <w:pPr>
              <w:rPr>
                <w:color w:val="000000"/>
              </w:rPr>
            </w:pPr>
            <w:r>
              <w:rPr>
                <w:color w:val="000000"/>
              </w:rPr>
              <w:t>Community Transport Grants</w:t>
            </w:r>
          </w:p>
        </w:tc>
        <w:tc>
          <w:tcPr>
            <w:tcW w:w="1340" w:type="dxa"/>
            <w:noWrap/>
            <w:tcMar>
              <w:top w:w="0" w:type="dxa"/>
              <w:left w:w="108" w:type="dxa"/>
              <w:bottom w:w="0" w:type="dxa"/>
              <w:right w:w="108" w:type="dxa"/>
            </w:tcMar>
            <w:vAlign w:val="bottom"/>
            <w:hideMark/>
          </w:tcPr>
          <w:p w14:paraId="2B35E504" w14:textId="77777777" w:rsidR="00B62710" w:rsidRDefault="00B62710">
            <w:pPr>
              <w:jc w:val="right"/>
              <w:rPr>
                <w:color w:val="000000"/>
              </w:rPr>
            </w:pPr>
            <w:r>
              <w:rPr>
                <w:color w:val="000000"/>
              </w:rPr>
              <w:t>£97,800</w:t>
            </w:r>
          </w:p>
        </w:tc>
        <w:tc>
          <w:tcPr>
            <w:tcW w:w="1311" w:type="dxa"/>
            <w:noWrap/>
            <w:tcMar>
              <w:top w:w="0" w:type="dxa"/>
              <w:left w:w="108" w:type="dxa"/>
              <w:bottom w:w="0" w:type="dxa"/>
              <w:right w:w="108" w:type="dxa"/>
            </w:tcMar>
            <w:vAlign w:val="bottom"/>
            <w:hideMark/>
          </w:tcPr>
          <w:p w14:paraId="4D9F89EB" w14:textId="77777777" w:rsidR="00B62710" w:rsidRDefault="00B62710">
            <w:pPr>
              <w:jc w:val="right"/>
              <w:rPr>
                <w:color w:val="000000"/>
              </w:rPr>
            </w:pPr>
            <w:r>
              <w:rPr>
                <w:color w:val="000000"/>
              </w:rPr>
              <w:t>£97,800</w:t>
            </w:r>
          </w:p>
        </w:tc>
        <w:tc>
          <w:tcPr>
            <w:tcW w:w="1520" w:type="dxa"/>
            <w:noWrap/>
            <w:tcMar>
              <w:top w:w="0" w:type="dxa"/>
              <w:left w:w="108" w:type="dxa"/>
              <w:bottom w:w="0" w:type="dxa"/>
              <w:right w:w="108" w:type="dxa"/>
            </w:tcMar>
            <w:vAlign w:val="bottom"/>
            <w:hideMark/>
          </w:tcPr>
          <w:p w14:paraId="7C7AD070" w14:textId="77777777" w:rsidR="00B62710" w:rsidRDefault="00B62710">
            <w:pPr>
              <w:jc w:val="right"/>
              <w:rPr>
                <w:color w:val="000000"/>
              </w:rPr>
            </w:pPr>
            <w:r>
              <w:rPr>
                <w:color w:val="000000"/>
              </w:rPr>
              <w:t>£97,800</w:t>
            </w:r>
          </w:p>
        </w:tc>
        <w:tc>
          <w:tcPr>
            <w:tcW w:w="1080" w:type="dxa"/>
            <w:noWrap/>
            <w:tcMar>
              <w:top w:w="0" w:type="dxa"/>
              <w:left w:w="108" w:type="dxa"/>
              <w:bottom w:w="0" w:type="dxa"/>
              <w:right w:w="108" w:type="dxa"/>
            </w:tcMar>
            <w:vAlign w:val="bottom"/>
            <w:hideMark/>
          </w:tcPr>
          <w:p w14:paraId="0E9B5140" w14:textId="77777777" w:rsidR="00B62710" w:rsidRDefault="00B62710">
            <w:pPr>
              <w:jc w:val="right"/>
              <w:rPr>
                <w:color w:val="000000"/>
              </w:rPr>
            </w:pPr>
            <w:r>
              <w:rPr>
                <w:color w:val="000000"/>
              </w:rPr>
              <w:t>£97,800</w:t>
            </w:r>
          </w:p>
        </w:tc>
        <w:tc>
          <w:tcPr>
            <w:tcW w:w="960" w:type="dxa"/>
            <w:noWrap/>
            <w:tcMar>
              <w:top w:w="0" w:type="dxa"/>
              <w:left w:w="108" w:type="dxa"/>
              <w:bottom w:w="0" w:type="dxa"/>
              <w:right w:w="108" w:type="dxa"/>
            </w:tcMar>
            <w:vAlign w:val="bottom"/>
            <w:hideMark/>
          </w:tcPr>
          <w:p w14:paraId="7788C1C3" w14:textId="77777777" w:rsidR="00B62710" w:rsidRDefault="00B62710">
            <w:pPr>
              <w:rPr>
                <w:color w:val="000000"/>
              </w:rPr>
            </w:pPr>
          </w:p>
        </w:tc>
        <w:tc>
          <w:tcPr>
            <w:tcW w:w="960" w:type="dxa"/>
            <w:noWrap/>
            <w:tcMar>
              <w:top w:w="0" w:type="dxa"/>
              <w:left w:w="108" w:type="dxa"/>
              <w:bottom w:w="0" w:type="dxa"/>
              <w:right w:w="108" w:type="dxa"/>
            </w:tcMar>
            <w:vAlign w:val="bottom"/>
            <w:hideMark/>
          </w:tcPr>
          <w:p w14:paraId="547E5AE9" w14:textId="77777777" w:rsidR="00B62710" w:rsidRDefault="00B62710">
            <w:pPr>
              <w:rPr>
                <w:rFonts w:ascii="Times New Roman" w:eastAsia="Times New Roman" w:hAnsi="Times New Roman" w:cs="Times New Roman"/>
                <w:sz w:val="20"/>
                <w:szCs w:val="20"/>
              </w:rPr>
            </w:pPr>
          </w:p>
        </w:tc>
      </w:tr>
      <w:tr w:rsidR="00B62710" w14:paraId="3EB91B27" w14:textId="77777777" w:rsidTr="00B62710">
        <w:trPr>
          <w:trHeight w:val="300"/>
          <w:jc w:val="center"/>
        </w:trPr>
        <w:tc>
          <w:tcPr>
            <w:tcW w:w="2840" w:type="dxa"/>
            <w:noWrap/>
            <w:tcMar>
              <w:top w:w="0" w:type="dxa"/>
              <w:left w:w="108" w:type="dxa"/>
              <w:bottom w:w="0" w:type="dxa"/>
              <w:right w:w="108" w:type="dxa"/>
            </w:tcMar>
            <w:vAlign w:val="bottom"/>
            <w:hideMark/>
          </w:tcPr>
          <w:p w14:paraId="5BA21D67" w14:textId="77777777" w:rsidR="00B62710" w:rsidRDefault="00B62710">
            <w:pPr>
              <w:rPr>
                <w:color w:val="000000"/>
              </w:rPr>
            </w:pPr>
            <w:r>
              <w:rPr>
                <w:color w:val="000000"/>
              </w:rPr>
              <w:t>Volunteer Driver Grants</w:t>
            </w:r>
          </w:p>
        </w:tc>
        <w:tc>
          <w:tcPr>
            <w:tcW w:w="1340" w:type="dxa"/>
            <w:noWrap/>
            <w:tcMar>
              <w:top w:w="0" w:type="dxa"/>
              <w:left w:w="108" w:type="dxa"/>
              <w:bottom w:w="0" w:type="dxa"/>
              <w:right w:w="108" w:type="dxa"/>
            </w:tcMar>
            <w:vAlign w:val="bottom"/>
            <w:hideMark/>
          </w:tcPr>
          <w:p w14:paraId="754EDEFE" w14:textId="77777777" w:rsidR="00B62710" w:rsidRDefault="00B62710">
            <w:pPr>
              <w:jc w:val="right"/>
              <w:rPr>
                <w:color w:val="000000"/>
              </w:rPr>
            </w:pPr>
            <w:r>
              <w:rPr>
                <w:color w:val="000000"/>
              </w:rPr>
              <w:t>£5,270</w:t>
            </w:r>
          </w:p>
        </w:tc>
        <w:tc>
          <w:tcPr>
            <w:tcW w:w="1311" w:type="dxa"/>
            <w:noWrap/>
            <w:tcMar>
              <w:top w:w="0" w:type="dxa"/>
              <w:left w:w="108" w:type="dxa"/>
              <w:bottom w:w="0" w:type="dxa"/>
              <w:right w:w="108" w:type="dxa"/>
            </w:tcMar>
            <w:vAlign w:val="bottom"/>
            <w:hideMark/>
          </w:tcPr>
          <w:p w14:paraId="6DCDA9A9" w14:textId="77777777" w:rsidR="00B62710" w:rsidRDefault="00B62710">
            <w:pPr>
              <w:jc w:val="right"/>
              <w:rPr>
                <w:color w:val="000000"/>
              </w:rPr>
            </w:pPr>
            <w:r>
              <w:rPr>
                <w:color w:val="000000"/>
              </w:rPr>
              <w:t>£5,268</w:t>
            </w:r>
          </w:p>
        </w:tc>
        <w:tc>
          <w:tcPr>
            <w:tcW w:w="1520" w:type="dxa"/>
            <w:noWrap/>
            <w:tcMar>
              <w:top w:w="0" w:type="dxa"/>
              <w:left w:w="108" w:type="dxa"/>
              <w:bottom w:w="0" w:type="dxa"/>
              <w:right w:w="108" w:type="dxa"/>
            </w:tcMar>
            <w:vAlign w:val="bottom"/>
            <w:hideMark/>
          </w:tcPr>
          <w:p w14:paraId="05F2AE1C" w14:textId="77777777" w:rsidR="00B62710" w:rsidRDefault="00B62710">
            <w:pPr>
              <w:jc w:val="right"/>
              <w:rPr>
                <w:color w:val="000000"/>
              </w:rPr>
            </w:pPr>
            <w:r>
              <w:rPr>
                <w:color w:val="000000"/>
              </w:rPr>
              <w:t>£5,270</w:t>
            </w:r>
          </w:p>
        </w:tc>
        <w:tc>
          <w:tcPr>
            <w:tcW w:w="1080" w:type="dxa"/>
            <w:noWrap/>
            <w:tcMar>
              <w:top w:w="0" w:type="dxa"/>
              <w:left w:w="108" w:type="dxa"/>
              <w:bottom w:w="0" w:type="dxa"/>
              <w:right w:w="108" w:type="dxa"/>
            </w:tcMar>
            <w:vAlign w:val="bottom"/>
            <w:hideMark/>
          </w:tcPr>
          <w:p w14:paraId="4A0E296F" w14:textId="77777777" w:rsidR="00B62710" w:rsidRDefault="00B62710">
            <w:pPr>
              <w:rPr>
                <w:color w:val="000000"/>
              </w:rPr>
            </w:pPr>
            <w:r>
              <w:rPr>
                <w:color w:val="000000"/>
              </w:rPr>
              <w:t>N/A</w:t>
            </w:r>
          </w:p>
        </w:tc>
        <w:tc>
          <w:tcPr>
            <w:tcW w:w="960" w:type="dxa"/>
            <w:noWrap/>
            <w:tcMar>
              <w:top w:w="0" w:type="dxa"/>
              <w:left w:w="108" w:type="dxa"/>
              <w:bottom w:w="0" w:type="dxa"/>
              <w:right w:w="108" w:type="dxa"/>
            </w:tcMar>
            <w:vAlign w:val="bottom"/>
            <w:hideMark/>
          </w:tcPr>
          <w:p w14:paraId="1C58692F" w14:textId="77777777" w:rsidR="00B62710" w:rsidRDefault="00B62710">
            <w:pPr>
              <w:rPr>
                <w:color w:val="000000"/>
              </w:rPr>
            </w:pPr>
          </w:p>
        </w:tc>
        <w:tc>
          <w:tcPr>
            <w:tcW w:w="960" w:type="dxa"/>
            <w:noWrap/>
            <w:tcMar>
              <w:top w:w="0" w:type="dxa"/>
              <w:left w:w="108" w:type="dxa"/>
              <w:bottom w:w="0" w:type="dxa"/>
              <w:right w:w="108" w:type="dxa"/>
            </w:tcMar>
            <w:vAlign w:val="bottom"/>
            <w:hideMark/>
          </w:tcPr>
          <w:p w14:paraId="06C7EC18" w14:textId="77777777" w:rsidR="00B62710" w:rsidRDefault="00B62710">
            <w:pPr>
              <w:rPr>
                <w:rFonts w:ascii="Times New Roman" w:eastAsia="Times New Roman" w:hAnsi="Times New Roman" w:cs="Times New Roman"/>
                <w:sz w:val="20"/>
                <w:szCs w:val="20"/>
              </w:rPr>
            </w:pPr>
          </w:p>
        </w:tc>
      </w:tr>
      <w:tr w:rsidR="00B62710" w14:paraId="7A8436B8" w14:textId="77777777" w:rsidTr="00B62710">
        <w:trPr>
          <w:trHeight w:val="300"/>
          <w:jc w:val="center"/>
        </w:trPr>
        <w:tc>
          <w:tcPr>
            <w:tcW w:w="2840" w:type="dxa"/>
            <w:noWrap/>
            <w:tcMar>
              <w:top w:w="0" w:type="dxa"/>
              <w:left w:w="108" w:type="dxa"/>
              <w:bottom w:w="0" w:type="dxa"/>
              <w:right w:w="108" w:type="dxa"/>
            </w:tcMar>
            <w:vAlign w:val="bottom"/>
            <w:hideMark/>
          </w:tcPr>
          <w:p w14:paraId="5E53771D" w14:textId="77777777" w:rsidR="00B62710" w:rsidRDefault="00B62710">
            <w:pPr>
              <w:rPr>
                <w:color w:val="000000"/>
              </w:rPr>
            </w:pPr>
            <w:r>
              <w:rPr>
                <w:color w:val="000000"/>
              </w:rPr>
              <w:t>Home to School Mainstream</w:t>
            </w:r>
          </w:p>
        </w:tc>
        <w:tc>
          <w:tcPr>
            <w:tcW w:w="1340" w:type="dxa"/>
            <w:noWrap/>
            <w:tcMar>
              <w:top w:w="0" w:type="dxa"/>
              <w:left w:w="108" w:type="dxa"/>
              <w:bottom w:w="0" w:type="dxa"/>
              <w:right w:w="108" w:type="dxa"/>
            </w:tcMar>
            <w:vAlign w:val="bottom"/>
            <w:hideMark/>
          </w:tcPr>
          <w:p w14:paraId="430D8C78" w14:textId="77777777" w:rsidR="00B62710" w:rsidRDefault="00B62710">
            <w:pPr>
              <w:jc w:val="right"/>
              <w:rPr>
                <w:color w:val="000000"/>
              </w:rPr>
            </w:pPr>
            <w:r>
              <w:rPr>
                <w:color w:val="000000"/>
              </w:rPr>
              <w:t>£1,141,410.00</w:t>
            </w:r>
          </w:p>
        </w:tc>
        <w:tc>
          <w:tcPr>
            <w:tcW w:w="1311" w:type="dxa"/>
            <w:noWrap/>
            <w:tcMar>
              <w:top w:w="0" w:type="dxa"/>
              <w:left w:w="108" w:type="dxa"/>
              <w:bottom w:w="0" w:type="dxa"/>
              <w:right w:w="108" w:type="dxa"/>
            </w:tcMar>
            <w:vAlign w:val="bottom"/>
            <w:hideMark/>
          </w:tcPr>
          <w:p w14:paraId="79D2B7E0" w14:textId="77777777" w:rsidR="00B62710" w:rsidRDefault="00B62710">
            <w:pPr>
              <w:jc w:val="right"/>
              <w:rPr>
                <w:color w:val="000000"/>
              </w:rPr>
            </w:pPr>
            <w:r>
              <w:rPr>
                <w:color w:val="000000"/>
              </w:rPr>
              <w:t>£1,151,138.90</w:t>
            </w:r>
          </w:p>
        </w:tc>
        <w:tc>
          <w:tcPr>
            <w:tcW w:w="1520" w:type="dxa"/>
            <w:noWrap/>
            <w:tcMar>
              <w:top w:w="0" w:type="dxa"/>
              <w:left w:w="108" w:type="dxa"/>
              <w:bottom w:w="0" w:type="dxa"/>
              <w:right w:w="108" w:type="dxa"/>
            </w:tcMar>
            <w:vAlign w:val="bottom"/>
            <w:hideMark/>
          </w:tcPr>
          <w:p w14:paraId="23E4F5E0" w14:textId="77777777" w:rsidR="00B62710" w:rsidRDefault="00B62710">
            <w:pPr>
              <w:jc w:val="right"/>
              <w:rPr>
                <w:color w:val="000000"/>
              </w:rPr>
            </w:pPr>
            <w:r>
              <w:rPr>
                <w:color w:val="000000"/>
              </w:rPr>
              <w:t>£1,231,190.00</w:t>
            </w:r>
          </w:p>
        </w:tc>
        <w:tc>
          <w:tcPr>
            <w:tcW w:w="1080" w:type="dxa"/>
            <w:noWrap/>
            <w:tcMar>
              <w:top w:w="0" w:type="dxa"/>
              <w:left w:w="108" w:type="dxa"/>
              <w:bottom w:w="0" w:type="dxa"/>
              <w:right w:w="108" w:type="dxa"/>
            </w:tcMar>
            <w:vAlign w:val="bottom"/>
            <w:hideMark/>
          </w:tcPr>
          <w:p w14:paraId="21B962A0" w14:textId="77777777" w:rsidR="00B62710" w:rsidRDefault="00B62710">
            <w:pPr>
              <w:rPr>
                <w:color w:val="000000"/>
              </w:rPr>
            </w:pPr>
            <w:r>
              <w:rPr>
                <w:color w:val="000000"/>
              </w:rPr>
              <w:t>N/A</w:t>
            </w:r>
          </w:p>
        </w:tc>
        <w:tc>
          <w:tcPr>
            <w:tcW w:w="960" w:type="dxa"/>
            <w:noWrap/>
            <w:tcMar>
              <w:top w:w="0" w:type="dxa"/>
              <w:left w:w="108" w:type="dxa"/>
              <w:bottom w:w="0" w:type="dxa"/>
              <w:right w:w="108" w:type="dxa"/>
            </w:tcMar>
            <w:vAlign w:val="bottom"/>
            <w:hideMark/>
          </w:tcPr>
          <w:p w14:paraId="60095C34" w14:textId="77777777" w:rsidR="00B62710" w:rsidRDefault="00B62710">
            <w:pPr>
              <w:rPr>
                <w:color w:val="000000"/>
              </w:rPr>
            </w:pPr>
            <w:r>
              <w:rPr>
                <w:color w:val="000000"/>
              </w:rPr>
              <w:t>TBC</w:t>
            </w:r>
          </w:p>
        </w:tc>
        <w:tc>
          <w:tcPr>
            <w:tcW w:w="960" w:type="dxa"/>
            <w:noWrap/>
            <w:tcMar>
              <w:top w:w="0" w:type="dxa"/>
              <w:left w:w="108" w:type="dxa"/>
              <w:bottom w:w="0" w:type="dxa"/>
              <w:right w:w="108" w:type="dxa"/>
            </w:tcMar>
            <w:vAlign w:val="bottom"/>
            <w:hideMark/>
          </w:tcPr>
          <w:p w14:paraId="62232D0D" w14:textId="77777777" w:rsidR="00B62710" w:rsidRDefault="00B62710">
            <w:pPr>
              <w:rPr>
                <w:color w:val="000000"/>
              </w:rPr>
            </w:pPr>
            <w:r>
              <w:rPr>
                <w:color w:val="000000"/>
              </w:rPr>
              <w:t>N/A</w:t>
            </w:r>
          </w:p>
        </w:tc>
      </w:tr>
      <w:tr w:rsidR="00B62710" w14:paraId="401633D8" w14:textId="77777777" w:rsidTr="00B62710">
        <w:trPr>
          <w:trHeight w:val="300"/>
          <w:jc w:val="center"/>
        </w:trPr>
        <w:tc>
          <w:tcPr>
            <w:tcW w:w="2840" w:type="dxa"/>
            <w:noWrap/>
            <w:tcMar>
              <w:top w:w="0" w:type="dxa"/>
              <w:left w:w="108" w:type="dxa"/>
              <w:bottom w:w="0" w:type="dxa"/>
              <w:right w:w="108" w:type="dxa"/>
            </w:tcMar>
            <w:vAlign w:val="bottom"/>
            <w:hideMark/>
          </w:tcPr>
          <w:p w14:paraId="3D34195F" w14:textId="77777777" w:rsidR="00B62710" w:rsidRDefault="00B62710">
            <w:pPr>
              <w:rPr>
                <w:color w:val="000000"/>
              </w:rPr>
            </w:pPr>
            <w:r>
              <w:rPr>
                <w:color w:val="000000"/>
              </w:rPr>
              <w:t>Home to School SEN</w:t>
            </w:r>
          </w:p>
        </w:tc>
        <w:tc>
          <w:tcPr>
            <w:tcW w:w="1340" w:type="dxa"/>
            <w:noWrap/>
            <w:tcMar>
              <w:top w:w="0" w:type="dxa"/>
              <w:left w:w="108" w:type="dxa"/>
              <w:bottom w:w="0" w:type="dxa"/>
              <w:right w:w="108" w:type="dxa"/>
            </w:tcMar>
            <w:vAlign w:val="bottom"/>
            <w:hideMark/>
          </w:tcPr>
          <w:p w14:paraId="12BE13FA" w14:textId="77777777" w:rsidR="00B62710" w:rsidRDefault="00B62710">
            <w:pPr>
              <w:jc w:val="right"/>
              <w:rPr>
                <w:color w:val="000000"/>
              </w:rPr>
            </w:pPr>
            <w:r>
              <w:rPr>
                <w:color w:val="000000"/>
              </w:rPr>
              <w:t>£2,680,800.00</w:t>
            </w:r>
          </w:p>
        </w:tc>
        <w:tc>
          <w:tcPr>
            <w:tcW w:w="1311" w:type="dxa"/>
            <w:noWrap/>
            <w:tcMar>
              <w:top w:w="0" w:type="dxa"/>
              <w:left w:w="108" w:type="dxa"/>
              <w:bottom w:w="0" w:type="dxa"/>
              <w:right w:w="108" w:type="dxa"/>
            </w:tcMar>
            <w:vAlign w:val="bottom"/>
            <w:hideMark/>
          </w:tcPr>
          <w:p w14:paraId="211115B8" w14:textId="77777777" w:rsidR="00B62710" w:rsidRDefault="00B62710">
            <w:pPr>
              <w:jc w:val="right"/>
              <w:rPr>
                <w:color w:val="000000"/>
              </w:rPr>
            </w:pPr>
            <w:r>
              <w:rPr>
                <w:color w:val="000000"/>
              </w:rPr>
              <w:t>£3,017,561.25</w:t>
            </w:r>
          </w:p>
        </w:tc>
        <w:tc>
          <w:tcPr>
            <w:tcW w:w="1520" w:type="dxa"/>
            <w:noWrap/>
            <w:tcMar>
              <w:top w:w="0" w:type="dxa"/>
              <w:left w:w="108" w:type="dxa"/>
              <w:bottom w:w="0" w:type="dxa"/>
              <w:right w:w="108" w:type="dxa"/>
            </w:tcMar>
            <w:vAlign w:val="bottom"/>
            <w:hideMark/>
          </w:tcPr>
          <w:p w14:paraId="277AFAA7" w14:textId="77777777" w:rsidR="00B62710" w:rsidRDefault="00B62710">
            <w:pPr>
              <w:jc w:val="right"/>
              <w:rPr>
                <w:color w:val="000000"/>
              </w:rPr>
            </w:pPr>
            <w:r>
              <w:rPr>
                <w:color w:val="000000"/>
              </w:rPr>
              <w:t>£3,350,970.00</w:t>
            </w:r>
          </w:p>
        </w:tc>
        <w:tc>
          <w:tcPr>
            <w:tcW w:w="1080" w:type="dxa"/>
            <w:noWrap/>
            <w:tcMar>
              <w:top w:w="0" w:type="dxa"/>
              <w:left w:w="108" w:type="dxa"/>
              <w:bottom w:w="0" w:type="dxa"/>
              <w:right w:w="108" w:type="dxa"/>
            </w:tcMar>
            <w:vAlign w:val="bottom"/>
            <w:hideMark/>
          </w:tcPr>
          <w:p w14:paraId="33EEA519" w14:textId="77777777" w:rsidR="00B62710" w:rsidRDefault="00B62710">
            <w:pPr>
              <w:rPr>
                <w:color w:val="000000"/>
              </w:rPr>
            </w:pPr>
            <w:r>
              <w:rPr>
                <w:color w:val="000000"/>
              </w:rPr>
              <w:t>N/A</w:t>
            </w:r>
          </w:p>
        </w:tc>
        <w:tc>
          <w:tcPr>
            <w:tcW w:w="960" w:type="dxa"/>
            <w:noWrap/>
            <w:tcMar>
              <w:top w:w="0" w:type="dxa"/>
              <w:left w:w="108" w:type="dxa"/>
              <w:bottom w:w="0" w:type="dxa"/>
              <w:right w:w="108" w:type="dxa"/>
            </w:tcMar>
            <w:vAlign w:val="bottom"/>
            <w:hideMark/>
          </w:tcPr>
          <w:p w14:paraId="65406E0C" w14:textId="77777777" w:rsidR="00B62710" w:rsidRDefault="00B62710">
            <w:pPr>
              <w:rPr>
                <w:color w:val="000000"/>
              </w:rPr>
            </w:pPr>
            <w:r>
              <w:rPr>
                <w:color w:val="000000"/>
              </w:rPr>
              <w:t>TBC</w:t>
            </w:r>
          </w:p>
        </w:tc>
        <w:tc>
          <w:tcPr>
            <w:tcW w:w="960" w:type="dxa"/>
            <w:noWrap/>
            <w:tcMar>
              <w:top w:w="0" w:type="dxa"/>
              <w:left w:w="108" w:type="dxa"/>
              <w:bottom w:w="0" w:type="dxa"/>
              <w:right w:w="108" w:type="dxa"/>
            </w:tcMar>
            <w:vAlign w:val="bottom"/>
            <w:hideMark/>
          </w:tcPr>
          <w:p w14:paraId="73CAA483" w14:textId="77777777" w:rsidR="00B62710" w:rsidRDefault="00B62710">
            <w:pPr>
              <w:rPr>
                <w:color w:val="000000"/>
              </w:rPr>
            </w:pPr>
            <w:r>
              <w:rPr>
                <w:color w:val="000000"/>
              </w:rPr>
              <w:t>N/A</w:t>
            </w:r>
          </w:p>
        </w:tc>
      </w:tr>
      <w:tr w:rsidR="00B62710" w14:paraId="1A3A0EA5" w14:textId="77777777" w:rsidTr="00B62710">
        <w:trPr>
          <w:trHeight w:val="300"/>
          <w:jc w:val="center"/>
        </w:trPr>
        <w:tc>
          <w:tcPr>
            <w:tcW w:w="2840" w:type="dxa"/>
            <w:noWrap/>
            <w:tcMar>
              <w:top w:w="0" w:type="dxa"/>
              <w:left w:w="108" w:type="dxa"/>
              <w:bottom w:w="0" w:type="dxa"/>
              <w:right w:w="108" w:type="dxa"/>
            </w:tcMar>
            <w:vAlign w:val="bottom"/>
            <w:hideMark/>
          </w:tcPr>
          <w:p w14:paraId="2ECFC1DB" w14:textId="77777777" w:rsidR="00B62710" w:rsidRDefault="00B62710">
            <w:pPr>
              <w:rPr>
                <w:color w:val="000000"/>
              </w:rPr>
            </w:pPr>
            <w:r>
              <w:rPr>
                <w:color w:val="000000"/>
              </w:rPr>
              <w:t>Social Care</w:t>
            </w:r>
          </w:p>
        </w:tc>
        <w:tc>
          <w:tcPr>
            <w:tcW w:w="1340" w:type="dxa"/>
            <w:noWrap/>
            <w:tcMar>
              <w:top w:w="0" w:type="dxa"/>
              <w:left w:w="108" w:type="dxa"/>
              <w:bottom w:w="0" w:type="dxa"/>
              <w:right w:w="108" w:type="dxa"/>
            </w:tcMar>
            <w:vAlign w:val="bottom"/>
            <w:hideMark/>
          </w:tcPr>
          <w:p w14:paraId="734CC6F9" w14:textId="77777777" w:rsidR="00B62710" w:rsidRDefault="00B62710">
            <w:pPr>
              <w:jc w:val="right"/>
              <w:rPr>
                <w:color w:val="000000"/>
              </w:rPr>
            </w:pPr>
            <w:r>
              <w:rPr>
                <w:color w:val="000000"/>
              </w:rPr>
              <w:t>£938,400.00</w:t>
            </w:r>
          </w:p>
        </w:tc>
        <w:tc>
          <w:tcPr>
            <w:tcW w:w="1311" w:type="dxa"/>
            <w:noWrap/>
            <w:tcMar>
              <w:top w:w="0" w:type="dxa"/>
              <w:left w:w="108" w:type="dxa"/>
              <w:bottom w:w="0" w:type="dxa"/>
              <w:right w:w="108" w:type="dxa"/>
            </w:tcMar>
            <w:vAlign w:val="bottom"/>
            <w:hideMark/>
          </w:tcPr>
          <w:p w14:paraId="637A252F" w14:textId="77777777" w:rsidR="00B62710" w:rsidRDefault="00B62710">
            <w:pPr>
              <w:jc w:val="right"/>
              <w:rPr>
                <w:color w:val="000000"/>
              </w:rPr>
            </w:pPr>
            <w:r>
              <w:rPr>
                <w:color w:val="000000"/>
              </w:rPr>
              <w:t>£794,266.46</w:t>
            </w:r>
          </w:p>
        </w:tc>
        <w:tc>
          <w:tcPr>
            <w:tcW w:w="1520" w:type="dxa"/>
            <w:noWrap/>
            <w:tcMar>
              <w:top w:w="0" w:type="dxa"/>
              <w:left w:w="108" w:type="dxa"/>
              <w:bottom w:w="0" w:type="dxa"/>
              <w:right w:w="108" w:type="dxa"/>
            </w:tcMar>
            <w:vAlign w:val="bottom"/>
            <w:hideMark/>
          </w:tcPr>
          <w:p w14:paraId="5FF1571C" w14:textId="77777777" w:rsidR="00B62710" w:rsidRDefault="00B62710">
            <w:pPr>
              <w:jc w:val="right"/>
              <w:rPr>
                <w:color w:val="000000"/>
              </w:rPr>
            </w:pPr>
            <w:r>
              <w:rPr>
                <w:color w:val="000000"/>
              </w:rPr>
              <w:t>£785,000.00</w:t>
            </w:r>
          </w:p>
        </w:tc>
        <w:tc>
          <w:tcPr>
            <w:tcW w:w="1080" w:type="dxa"/>
            <w:noWrap/>
            <w:tcMar>
              <w:top w:w="0" w:type="dxa"/>
              <w:left w:w="108" w:type="dxa"/>
              <w:bottom w:w="0" w:type="dxa"/>
              <w:right w:w="108" w:type="dxa"/>
            </w:tcMar>
            <w:vAlign w:val="bottom"/>
            <w:hideMark/>
          </w:tcPr>
          <w:p w14:paraId="48A7C19C" w14:textId="77777777" w:rsidR="00B62710" w:rsidRDefault="00B62710">
            <w:pPr>
              <w:rPr>
                <w:color w:val="000000"/>
              </w:rPr>
            </w:pPr>
            <w:r>
              <w:rPr>
                <w:color w:val="000000"/>
              </w:rPr>
              <w:t>N/A</w:t>
            </w:r>
          </w:p>
        </w:tc>
        <w:tc>
          <w:tcPr>
            <w:tcW w:w="960" w:type="dxa"/>
            <w:noWrap/>
            <w:tcMar>
              <w:top w:w="0" w:type="dxa"/>
              <w:left w:w="108" w:type="dxa"/>
              <w:bottom w:w="0" w:type="dxa"/>
              <w:right w:w="108" w:type="dxa"/>
            </w:tcMar>
            <w:vAlign w:val="bottom"/>
            <w:hideMark/>
          </w:tcPr>
          <w:p w14:paraId="66BB61D9" w14:textId="77777777" w:rsidR="00B62710" w:rsidRDefault="00B62710">
            <w:pPr>
              <w:rPr>
                <w:color w:val="000000"/>
              </w:rPr>
            </w:pPr>
            <w:r>
              <w:rPr>
                <w:color w:val="000000"/>
              </w:rPr>
              <w:t>TBC</w:t>
            </w:r>
          </w:p>
        </w:tc>
        <w:tc>
          <w:tcPr>
            <w:tcW w:w="960" w:type="dxa"/>
            <w:noWrap/>
            <w:tcMar>
              <w:top w:w="0" w:type="dxa"/>
              <w:left w:w="108" w:type="dxa"/>
              <w:bottom w:w="0" w:type="dxa"/>
              <w:right w:w="108" w:type="dxa"/>
            </w:tcMar>
            <w:vAlign w:val="bottom"/>
            <w:hideMark/>
          </w:tcPr>
          <w:p w14:paraId="3DA5BC6A" w14:textId="77777777" w:rsidR="00B62710" w:rsidRDefault="00B62710">
            <w:pPr>
              <w:rPr>
                <w:color w:val="000000"/>
              </w:rPr>
            </w:pPr>
            <w:r>
              <w:rPr>
                <w:color w:val="000000"/>
              </w:rPr>
              <w:t>N/A</w:t>
            </w:r>
          </w:p>
        </w:tc>
      </w:tr>
    </w:tbl>
    <w:p w14:paraId="40508524" w14:textId="77777777" w:rsidR="00B62710" w:rsidRDefault="00B62710" w:rsidP="00B62710">
      <w:pPr>
        <w:spacing w:after="240"/>
      </w:pPr>
    </w:p>
    <w:p w14:paraId="6C108E91" w14:textId="77777777" w:rsidR="00B62710" w:rsidRDefault="00B62710" w:rsidP="00B62710">
      <w:pPr>
        <w:spacing w:after="240"/>
      </w:pPr>
      <w:r>
        <w:t>For clarity, a local authority is not permitted to operate a commercial bus service under the 1985 Transport Act, therefore we have no spend against this category. Community Transport and Volunteer transport services receive grants towards their operation, any other Council income is categorised accordingly under the relevant headings. The Council does not commission DRT, Dial-a-ride or NEMT. The only student transport we provide is Home to School Transport.</w:t>
      </w:r>
    </w:p>
    <w:p w14:paraId="523A3E5F" w14:textId="77777777" w:rsidR="00B62710" w:rsidRDefault="00B62710" w:rsidP="00B62710">
      <w:pPr>
        <w:spacing w:after="240"/>
      </w:pPr>
      <w:r>
        <w:t>As we have not reached the end of the current financial year it is not possible to provide the total spend for 22/23. Budgets for 23/24 are set at the February 23 Executive Committee, so it is not possible to provide these. No spend has taken place against 23/24 and final spend will not be known until after April 2024.</w:t>
      </w:r>
    </w:p>
    <w:p w14:paraId="54F71DBA" w14:textId="77777777" w:rsidR="00A768EB" w:rsidRPr="00A768EB" w:rsidRDefault="00A768EB" w:rsidP="00A768EB"/>
    <w:sectPr w:rsidR="00A768EB" w:rsidRPr="00A768EB">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11A5" w14:textId="77777777" w:rsidR="00F726DF" w:rsidRDefault="00F726DF" w:rsidP="00B62710">
      <w:r>
        <w:separator/>
      </w:r>
    </w:p>
  </w:endnote>
  <w:endnote w:type="continuationSeparator" w:id="0">
    <w:p w14:paraId="1C8FE8A6" w14:textId="77777777" w:rsidR="00F726DF" w:rsidRDefault="00F726DF" w:rsidP="00B6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A9E3" w14:textId="3B04B97F" w:rsidR="00B62710" w:rsidRDefault="00B62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94CD" w14:textId="3404E652" w:rsidR="00B62710" w:rsidRDefault="00B62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E4DE" w14:textId="4654887C" w:rsidR="00B62710" w:rsidRDefault="00B62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39C8" w14:textId="77777777" w:rsidR="00F726DF" w:rsidRDefault="00F726DF" w:rsidP="00B62710">
      <w:r>
        <w:separator/>
      </w:r>
    </w:p>
  </w:footnote>
  <w:footnote w:type="continuationSeparator" w:id="0">
    <w:p w14:paraId="37EB32B5" w14:textId="77777777" w:rsidR="00F726DF" w:rsidRDefault="00F726DF" w:rsidP="00B6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8AF"/>
    <w:multiLevelType w:val="hybridMultilevel"/>
    <w:tmpl w:val="D3DA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37FEB"/>
    <w:multiLevelType w:val="hybridMultilevel"/>
    <w:tmpl w:val="454CD8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2CF2F35"/>
    <w:multiLevelType w:val="hybridMultilevel"/>
    <w:tmpl w:val="6F26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D6901"/>
    <w:multiLevelType w:val="hybridMultilevel"/>
    <w:tmpl w:val="3CA4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B18CA"/>
    <w:multiLevelType w:val="hybridMultilevel"/>
    <w:tmpl w:val="7134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568486">
    <w:abstractNumId w:val="0"/>
  </w:num>
  <w:num w:numId="2" w16cid:durableId="664362169">
    <w:abstractNumId w:val="4"/>
  </w:num>
  <w:num w:numId="3" w16cid:durableId="1434201252">
    <w:abstractNumId w:val="3"/>
  </w:num>
  <w:num w:numId="4" w16cid:durableId="548958640">
    <w:abstractNumId w:val="2"/>
  </w:num>
  <w:num w:numId="5" w16cid:durableId="105573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EB"/>
    <w:rsid w:val="0065640B"/>
    <w:rsid w:val="00A768EB"/>
    <w:rsid w:val="00B62710"/>
    <w:rsid w:val="00C773C3"/>
    <w:rsid w:val="00F72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2453"/>
  <w15:chartTrackingRefBased/>
  <w15:docId w15:val="{10C71BCF-624E-4114-9A38-3BF21820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71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8EB"/>
    <w:pPr>
      <w:ind w:left="720"/>
      <w:contextualSpacing/>
    </w:pPr>
  </w:style>
  <w:style w:type="paragraph" w:styleId="Footer">
    <w:name w:val="footer"/>
    <w:basedOn w:val="Normal"/>
    <w:link w:val="FooterChar"/>
    <w:uiPriority w:val="99"/>
    <w:unhideWhenUsed/>
    <w:rsid w:val="00B62710"/>
    <w:pPr>
      <w:tabs>
        <w:tab w:val="center" w:pos="4513"/>
        <w:tab w:val="right" w:pos="9026"/>
      </w:tabs>
    </w:pPr>
  </w:style>
  <w:style w:type="character" w:customStyle="1" w:styleId="FooterChar">
    <w:name w:val="Footer Char"/>
    <w:basedOn w:val="DefaultParagraphFont"/>
    <w:link w:val="Footer"/>
    <w:uiPriority w:val="99"/>
    <w:rsid w:val="00B62710"/>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2</cp:revision>
  <dcterms:created xsi:type="dcterms:W3CDTF">2023-02-16T12:58:00Z</dcterms:created>
  <dcterms:modified xsi:type="dcterms:W3CDTF">2023-02-16T14:03:00Z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2023-02-16T14:03:45Z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968e47e3-102d-4d98-85af-2713a2f1a2c4</vt:lpwstr>
  </property>
  <property fmtid="{D5CDD505-2E9C-101B-9397-08002B2CF9AE}" pid="8" name="MSIP_Label_d17f5eab-0951-45e7-baa9-357beec0b77b_ContentBits">
    <vt:lpwstr>0</vt:lpwstr>
  </property>
</Properties>
</file>