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EC0A" w14:textId="77777777" w:rsidR="00F948B1" w:rsidRPr="00F948B1" w:rsidRDefault="00F948B1" w:rsidP="00F948B1">
      <w:pPr>
        <w:jc w:val="both"/>
        <w:rPr>
          <w:rFonts w:ascii="Arial" w:hAnsi="Arial" w:cs="Arial"/>
          <w:b/>
          <w:bCs/>
        </w:rPr>
      </w:pPr>
      <w:r w:rsidRPr="00F948B1">
        <w:rPr>
          <w:rFonts w:ascii="Arial" w:hAnsi="Arial" w:cs="Arial"/>
          <w:b/>
          <w:bCs/>
        </w:rPr>
        <w:t>1. Number of new homes constructed in each of the financial years 2017 to date separated by ward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632"/>
        <w:gridCol w:w="632"/>
        <w:gridCol w:w="632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1247"/>
      </w:tblGrid>
      <w:tr w:rsidR="00F948B1" w14:paraId="1686FB8F" w14:textId="77777777" w:rsidTr="00F948B1">
        <w:trPr>
          <w:trHeight w:val="204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D34C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Period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4D840AF6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Arborfield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5DA55F0D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Barkham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2C3C4DD7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Charvil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2082FBF6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Earley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5C08D173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Finchampstead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595814BF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Remenham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2320D9C7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Ruscombe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3E4F5A78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Shinfield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054E89C2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Sonning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31079AFD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 Nicholas Hurst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0BD1A8A4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Swallowfield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053F4F0F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Twyford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68C89DC1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Wargrave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7358F4DD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Winnersh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36B6B6E0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Wokingham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1A927B21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Wokingham Without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008A6CF8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Woodley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209D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F948B1" w14:paraId="6F1E1053" w14:textId="77777777" w:rsidTr="00F948B1">
        <w:trPr>
          <w:trHeight w:val="2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57B1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COMPLETIONS: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0ABA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A4AD9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5967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06D8E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AFB6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CABC3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63F18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3ABD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0EEC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384B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76CE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8358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39DE4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DBEB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D80A9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DDFBD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1160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0872A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Completions</w:t>
            </w:r>
          </w:p>
        </w:tc>
      </w:tr>
      <w:tr w:rsidR="00F948B1" w14:paraId="574DC3D3" w14:textId="77777777" w:rsidTr="00F948B1">
        <w:trPr>
          <w:trHeight w:val="2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53796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1/4/2016 - 31/3/2017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6404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9DEE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EA14E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F1243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87E1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A02C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A53A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59BFB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B40B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C4E4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2FD3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D990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7B09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F704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19C3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285B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EEB8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E381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</w:tc>
      </w:tr>
      <w:tr w:rsidR="00F948B1" w14:paraId="7562041A" w14:textId="77777777" w:rsidTr="00F948B1">
        <w:trPr>
          <w:trHeight w:val="2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E4826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1/4/2017 - 31/3/2018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B320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E7385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8532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7467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77D2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A7E2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C2E7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063C1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A919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F095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86F6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86A1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CD1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D0B0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D325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F8CC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9973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3CDFC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1509</w:t>
            </w:r>
          </w:p>
        </w:tc>
      </w:tr>
      <w:tr w:rsidR="00F948B1" w14:paraId="2B702EB4" w14:textId="77777777" w:rsidTr="00F948B1">
        <w:trPr>
          <w:trHeight w:val="2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4531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1/4/2018 - 31/3/2019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F4A6E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51C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9F86B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FDA1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04BE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E595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6903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506F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A2F0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D1B2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3A7C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B6FF4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2B35E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7DAD0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4A35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BBC8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AA1E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1F29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</w:t>
            </w:r>
          </w:p>
        </w:tc>
      </w:tr>
      <w:tr w:rsidR="00F948B1" w14:paraId="2AABF37F" w14:textId="77777777" w:rsidTr="00F948B1">
        <w:trPr>
          <w:trHeight w:val="2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7BD2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1/4/2019 - 31/3/2020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6E542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D0C6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ED75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7DD1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8C5F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035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BB28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EC75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392B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3F96B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44CB3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F25C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FAD9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1458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E790A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6540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72264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1D83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1555</w:t>
            </w:r>
          </w:p>
        </w:tc>
      </w:tr>
      <w:tr w:rsidR="00F948B1" w14:paraId="41059D5A" w14:textId="77777777" w:rsidTr="00F948B1">
        <w:trPr>
          <w:trHeight w:val="2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1EDD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1/4/2020 - 31/3/2021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1C1F3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73EC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0D42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85C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E7BC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2DE1A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F7E3C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AA821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B5C9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918C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E842B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5D6F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2FE3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D2A9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D63E7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6BD5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BF31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9B88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1129</w:t>
            </w:r>
          </w:p>
        </w:tc>
      </w:tr>
      <w:tr w:rsidR="00F948B1" w14:paraId="144B2E1D" w14:textId="77777777" w:rsidTr="00F948B1">
        <w:trPr>
          <w:trHeight w:val="2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26395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1/4/2021 - 31/3/2022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1575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B0A8A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0C39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DA79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1FC9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34F7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C47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EAAC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07451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2B3B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4E2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E2B9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ACE5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B74A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7383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5C6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BAC1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3734D" w14:textId="77777777" w:rsidR="00F948B1" w:rsidRDefault="00F94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</w:t>
            </w:r>
          </w:p>
        </w:tc>
      </w:tr>
      <w:tr w:rsidR="00F948B1" w14:paraId="090179C3" w14:textId="77777777" w:rsidTr="00F948B1">
        <w:trPr>
          <w:trHeight w:val="2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4B98C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ED60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55A96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0F6BF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D774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3D5A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29915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7B057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E129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966B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6D5F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C1EF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C14B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416C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AAA4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50B0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341E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A6E57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7DACA" w14:textId="77777777" w:rsidR="00F948B1" w:rsidRDefault="00F948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7761</w:t>
            </w:r>
          </w:p>
        </w:tc>
      </w:tr>
    </w:tbl>
    <w:p w14:paraId="63F117B8" w14:textId="77777777" w:rsidR="00F948B1" w:rsidRDefault="00F948B1" w:rsidP="00F948B1">
      <w:pPr>
        <w:jc w:val="both"/>
        <w:rPr>
          <w:rFonts w:ascii="Arial" w:hAnsi="Arial" w:cs="Arial"/>
        </w:rPr>
      </w:pPr>
    </w:p>
    <w:p w14:paraId="7B6B6F81" w14:textId="77777777" w:rsidR="00F948B1" w:rsidRPr="00F948B1" w:rsidRDefault="00F948B1" w:rsidP="00F948B1">
      <w:pPr>
        <w:jc w:val="both"/>
        <w:rPr>
          <w:rFonts w:ascii="Arial" w:hAnsi="Arial" w:cs="Arial"/>
        </w:rPr>
      </w:pPr>
    </w:p>
    <w:p w14:paraId="3327D0C0" w14:textId="77777777" w:rsidR="00F948B1" w:rsidRPr="00F948B1" w:rsidRDefault="00F948B1" w:rsidP="00F948B1">
      <w:pPr>
        <w:jc w:val="both"/>
        <w:rPr>
          <w:rFonts w:ascii="Arial" w:hAnsi="Arial" w:cs="Arial"/>
          <w:b/>
          <w:bCs/>
        </w:rPr>
      </w:pPr>
      <w:r w:rsidRPr="00F948B1">
        <w:rPr>
          <w:rFonts w:ascii="Arial" w:hAnsi="Arial" w:cs="Arial"/>
          <w:b/>
          <w:bCs/>
        </w:rPr>
        <w:t>2. Please confirm the number of new homes for which planning permission, outline or further, has been granted, separated by ward</w:t>
      </w:r>
    </w:p>
    <w:p w14:paraId="02FBA4D0" w14:textId="21D9A747" w:rsidR="00F948B1" w:rsidRPr="00F948B1" w:rsidRDefault="00F948B1" w:rsidP="00F948B1">
      <w:pPr>
        <w:jc w:val="both"/>
        <w:rPr>
          <w:rFonts w:ascii="Arial" w:hAnsi="Arial" w:cs="Arial"/>
        </w:rPr>
      </w:pPr>
      <w:r w:rsidRPr="00F948B1">
        <w:rPr>
          <w:rFonts w:ascii="Arial" w:hAnsi="Arial" w:cs="Arial"/>
        </w:rPr>
        <w:t>Most monitoring is on completions, however, and not permissions</w:t>
      </w:r>
      <w:r w:rsidRPr="00F948B1">
        <w:rPr>
          <w:rFonts w:ascii="Arial" w:hAnsi="Arial" w:cs="Arial"/>
        </w:rPr>
        <w:t>. T</w:t>
      </w:r>
      <w:r w:rsidRPr="00F948B1">
        <w:rPr>
          <w:rFonts w:ascii="Arial" w:hAnsi="Arial" w:cs="Arial"/>
        </w:rPr>
        <w:t>his information is publicly available as details of all permissions are available online</w:t>
      </w:r>
      <w:r w:rsidRPr="00F948B1">
        <w:rPr>
          <w:rFonts w:ascii="Arial" w:hAnsi="Arial" w:cs="Arial"/>
        </w:rPr>
        <w:t xml:space="preserve"> however would require manually to be researched. </w:t>
      </w:r>
      <w:hyperlink r:id="rId7" w:history="1">
        <w:r w:rsidRPr="00F948B1">
          <w:rPr>
            <w:rStyle w:val="Hyperlink"/>
            <w:rFonts w:ascii="Arial" w:hAnsi="Arial" w:cs="Arial"/>
          </w:rPr>
          <w:t>https://planning.woking</w:t>
        </w:r>
        <w:r w:rsidRPr="00F948B1">
          <w:rPr>
            <w:rStyle w:val="Hyperlink"/>
            <w:rFonts w:ascii="Arial" w:hAnsi="Arial" w:cs="Arial"/>
          </w:rPr>
          <w:t>h</w:t>
        </w:r>
        <w:r w:rsidRPr="00F948B1">
          <w:rPr>
            <w:rStyle w:val="Hyperlink"/>
            <w:rFonts w:ascii="Arial" w:hAnsi="Arial" w:cs="Arial"/>
          </w:rPr>
          <w:t>am.gov.uk/FastWebPL/welcome.asp</w:t>
        </w:r>
      </w:hyperlink>
      <w:r w:rsidRPr="00F948B1">
        <w:rPr>
          <w:rFonts w:ascii="Arial" w:hAnsi="Arial" w:cs="Arial"/>
        </w:rPr>
        <w:t xml:space="preserve"> </w:t>
      </w:r>
    </w:p>
    <w:p w14:paraId="4BB5970F" w14:textId="2DCDED2D" w:rsidR="00F948B1" w:rsidRPr="00F948B1" w:rsidRDefault="00F948B1" w:rsidP="00F948B1">
      <w:pPr>
        <w:jc w:val="both"/>
        <w:rPr>
          <w:rFonts w:ascii="Arial" w:hAnsi="Arial" w:cs="Arial"/>
        </w:rPr>
      </w:pPr>
      <w:r w:rsidRPr="00F948B1">
        <w:rPr>
          <w:rFonts w:ascii="Arial" w:hAnsi="Arial" w:cs="Arial"/>
        </w:rPr>
        <w:t>The advanced search feature allows someone to search for received and decision dates</w:t>
      </w:r>
      <w:r w:rsidRPr="00F948B1">
        <w:rPr>
          <w:rFonts w:ascii="Arial" w:hAnsi="Arial" w:cs="Arial"/>
        </w:rPr>
        <w:t xml:space="preserve">. Therefore Section 21 is being applied as this can be done by the information in the public domain. </w:t>
      </w:r>
    </w:p>
    <w:p w14:paraId="3469050D" w14:textId="77777777" w:rsidR="00F948B1" w:rsidRPr="00F948B1" w:rsidRDefault="00F948B1" w:rsidP="00F948B1">
      <w:pPr>
        <w:jc w:val="both"/>
        <w:rPr>
          <w:rFonts w:ascii="Arial" w:hAnsi="Arial" w:cs="Arial"/>
        </w:rPr>
      </w:pPr>
    </w:p>
    <w:p w14:paraId="6455950B" w14:textId="77777777" w:rsidR="00F948B1" w:rsidRPr="00F948B1" w:rsidRDefault="00F948B1" w:rsidP="00F948B1">
      <w:pPr>
        <w:jc w:val="both"/>
        <w:rPr>
          <w:rFonts w:ascii="Arial" w:hAnsi="Arial" w:cs="Arial"/>
          <w:b/>
          <w:bCs/>
        </w:rPr>
      </w:pPr>
      <w:r w:rsidRPr="00F948B1">
        <w:rPr>
          <w:rFonts w:ascii="Arial" w:hAnsi="Arial" w:cs="Arial"/>
          <w:b/>
          <w:bCs/>
        </w:rPr>
        <w:t>3. Please confirm the total of CIL / S106 payments received by WBC in each of the financial Years since 2017 separated into contributors</w:t>
      </w:r>
    </w:p>
    <w:p w14:paraId="4243C28E" w14:textId="13A51C5B" w:rsidR="00F948B1" w:rsidRPr="00F948B1" w:rsidRDefault="00F948B1" w:rsidP="00F948B1">
      <w:pPr>
        <w:jc w:val="both"/>
        <w:rPr>
          <w:rFonts w:ascii="Arial" w:hAnsi="Arial" w:cs="Arial"/>
        </w:rPr>
      </w:pPr>
      <w:r w:rsidRPr="00F948B1">
        <w:rPr>
          <w:rFonts w:ascii="Arial" w:hAnsi="Arial" w:cs="Arial"/>
          <w:shd w:val="clear" w:color="auto" w:fill="FFFFFF"/>
        </w:rPr>
        <w:t>All our infrastructure funding statements detailing CIL/S106 payments can be found on our website. Link to webpage with reports can be found here - </w:t>
      </w:r>
      <w:hyperlink r:id="rId8" w:history="1">
        <w:r w:rsidRPr="00B05B09">
          <w:rPr>
            <w:rStyle w:val="Hyperlink"/>
            <w:rFonts w:ascii="Arial" w:hAnsi="Arial" w:cs="Arial"/>
          </w:rPr>
          <w:t>Community Infrastructure Levy (CIL) (woking</w:t>
        </w:r>
        <w:r w:rsidRPr="00B05B09">
          <w:rPr>
            <w:rStyle w:val="Hyperlink"/>
            <w:rFonts w:ascii="Arial" w:hAnsi="Arial" w:cs="Arial"/>
          </w:rPr>
          <w:t>h</w:t>
        </w:r>
        <w:r w:rsidRPr="00B05B09">
          <w:rPr>
            <w:rStyle w:val="Hyperlink"/>
            <w:rFonts w:ascii="Arial" w:hAnsi="Arial" w:cs="Arial"/>
          </w:rPr>
          <w:t>am.gov.uk</w:t>
        </w:r>
        <w:r w:rsidRPr="00B05B09">
          <w:rPr>
            <w:rStyle w:val="Hyperlink"/>
            <w:rFonts w:ascii="Arial" w:hAnsi="Arial" w:cs="Arial"/>
          </w:rPr>
          <w:t>)</w:t>
        </w:r>
      </w:hyperlink>
    </w:p>
    <w:p w14:paraId="0C74A90A" w14:textId="77777777" w:rsidR="00F948B1" w:rsidRPr="00F948B1" w:rsidRDefault="00F948B1" w:rsidP="00F948B1">
      <w:pPr>
        <w:jc w:val="both"/>
        <w:rPr>
          <w:rFonts w:ascii="Arial" w:hAnsi="Arial" w:cs="Arial"/>
        </w:rPr>
      </w:pPr>
    </w:p>
    <w:p w14:paraId="3C8B8938" w14:textId="77777777" w:rsidR="00F948B1" w:rsidRDefault="00F948B1" w:rsidP="00F948B1">
      <w:pPr>
        <w:jc w:val="both"/>
        <w:rPr>
          <w:rFonts w:ascii="Arial" w:hAnsi="Arial" w:cs="Arial"/>
          <w:b/>
          <w:bCs/>
        </w:rPr>
      </w:pPr>
      <w:r w:rsidRPr="00F948B1">
        <w:rPr>
          <w:rFonts w:ascii="Arial" w:hAnsi="Arial" w:cs="Arial"/>
          <w:b/>
          <w:bCs/>
        </w:rPr>
        <w:t>4. Please confirm the total of expenditure of CIL / s106 expenditure separated by ward since 2017.</w:t>
      </w:r>
    </w:p>
    <w:p w14:paraId="3E431A7A" w14:textId="239D507A" w:rsidR="00F948B1" w:rsidRPr="00F948B1" w:rsidRDefault="00F948B1" w:rsidP="00F948B1">
      <w:pPr>
        <w:jc w:val="both"/>
        <w:rPr>
          <w:rFonts w:ascii="Arial" w:hAnsi="Arial" w:cs="Arial"/>
        </w:rPr>
      </w:pPr>
      <w:r w:rsidRPr="00F948B1">
        <w:rPr>
          <w:rFonts w:ascii="Arial" w:hAnsi="Arial" w:cs="Arial"/>
        </w:rPr>
        <w:t>We do not record expenditure by location.</w:t>
      </w:r>
    </w:p>
    <w:p w14:paraId="36AF93B1" w14:textId="41839462" w:rsidR="00F948B1" w:rsidRPr="00F948B1" w:rsidRDefault="00F948B1" w:rsidP="00F948B1">
      <w:pPr>
        <w:jc w:val="both"/>
        <w:rPr>
          <w:rFonts w:ascii="Arial" w:hAnsi="Arial" w:cs="Arial"/>
        </w:rPr>
      </w:pPr>
    </w:p>
    <w:p w14:paraId="0CB9C633" w14:textId="77777777" w:rsidR="00F948B1" w:rsidRPr="00F948B1" w:rsidRDefault="00F948B1" w:rsidP="00F948B1"/>
    <w:sectPr w:rsidR="00F948B1" w:rsidRPr="00F948B1" w:rsidSect="000276D2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9BE7" w14:textId="77777777" w:rsidR="000276D2" w:rsidRDefault="000276D2" w:rsidP="00F948B1">
      <w:pPr>
        <w:spacing w:after="0" w:line="240" w:lineRule="auto"/>
      </w:pPr>
      <w:r>
        <w:separator/>
      </w:r>
    </w:p>
  </w:endnote>
  <w:endnote w:type="continuationSeparator" w:id="0">
    <w:p w14:paraId="138D3DFA" w14:textId="77777777" w:rsidR="000276D2" w:rsidRDefault="000276D2" w:rsidP="00F9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B14A" w14:textId="649EE679" w:rsidR="00F948B1" w:rsidRDefault="00F94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7DF7" w14:textId="0CE2673A" w:rsidR="00F948B1" w:rsidRDefault="00F94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7AAA" w14:textId="568D7C32" w:rsidR="00F948B1" w:rsidRDefault="00F94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F087" w14:textId="77777777" w:rsidR="000276D2" w:rsidRDefault="000276D2" w:rsidP="00F948B1">
      <w:pPr>
        <w:spacing w:after="0" w:line="240" w:lineRule="auto"/>
      </w:pPr>
      <w:r>
        <w:separator/>
      </w:r>
    </w:p>
  </w:footnote>
  <w:footnote w:type="continuationSeparator" w:id="0">
    <w:p w14:paraId="118668F3" w14:textId="77777777" w:rsidR="000276D2" w:rsidRDefault="000276D2" w:rsidP="00F9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845"/>
    <w:multiLevelType w:val="hybridMultilevel"/>
    <w:tmpl w:val="8480BDC8"/>
    <w:lvl w:ilvl="0" w:tplc="AE7A2E8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7F2"/>
    <w:multiLevelType w:val="hybridMultilevel"/>
    <w:tmpl w:val="693228F2"/>
    <w:lvl w:ilvl="0" w:tplc="AE7A2E8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193"/>
    <w:multiLevelType w:val="hybridMultilevel"/>
    <w:tmpl w:val="C4CA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C792A"/>
    <w:multiLevelType w:val="hybridMultilevel"/>
    <w:tmpl w:val="4B7402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87775">
    <w:abstractNumId w:val="0"/>
  </w:num>
  <w:num w:numId="2" w16cid:durableId="689646087">
    <w:abstractNumId w:val="1"/>
  </w:num>
  <w:num w:numId="3" w16cid:durableId="1680935330">
    <w:abstractNumId w:val="2"/>
  </w:num>
  <w:num w:numId="4" w16cid:durableId="1717660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11"/>
    <w:rsid w:val="000276D2"/>
    <w:rsid w:val="00A93833"/>
    <w:rsid w:val="00B05B09"/>
    <w:rsid w:val="00C10D11"/>
    <w:rsid w:val="00F948B1"/>
    <w:rsid w:val="00FC7B5D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0189"/>
  <w15:chartTrackingRefBased/>
  <w15:docId w15:val="{ADCBDEEA-5061-4881-86B1-518E6DA4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D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D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D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D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D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D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D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D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D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D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D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D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D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D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D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D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D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D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0D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D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0D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0D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0D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0D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0D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D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D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0D1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948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8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8B1"/>
    <w:rPr>
      <w:color w:val="96607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B1"/>
  </w:style>
  <w:style w:type="character" w:styleId="UnresolvedMention">
    <w:name w:val="Unresolved Mention"/>
    <w:basedOn w:val="DefaultParagraphFont"/>
    <w:uiPriority w:val="99"/>
    <w:semiHidden/>
    <w:unhideWhenUsed/>
    <w:rsid w:val="00B0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kingham.gov.uk/planning-policy/planning-policy-information/community-infrastructure-levy-c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planning.wokingham.gov.uk%2FFastWebPL%2Fwelcome.asp&amp;data=05%7C02%7Cinformationrequests%40wokingham.gov.uk%7C00c6cab45fae4cefc43c08dc32e3c48a%7C996ee15c0b3e4a6f8e65120a9a51821a%7C0%7C0%7C638441201033323551%7CUnknown%7CTWFpbGZsb3d8eyJWIjoiMC4wLjAwMDAiLCJQIjoiV2luMzIiLCJBTiI6Ik1haWwiLCJXVCI6Mn0%3D%7C0%7C%7C%7C&amp;sdata=0fMKsDZmrWxAkOkVmQOqqP7X3I6JvAlPUuyVfhBOop0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Bignell</dc:creator>
  <cp:keywords/>
  <dc:description/>
  <cp:lastModifiedBy>Stuart Bignell</cp:lastModifiedBy>
  <cp:revision>5</cp:revision>
  <cp:lastPrinted>2024-02-21T18:41:00Z</cp:lastPrinted>
  <dcterms:created xsi:type="dcterms:W3CDTF">2024-02-21T18:32:00Z</dcterms:created>
  <dcterms:modified xsi:type="dcterms:W3CDTF">2024-02-21T18:42:00Z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2024-02-21T18:39:44Z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e3e82410-94e1-4d7c-9c8a-fd012da40cfb</vt:lpwstr>
  </property>
  <property fmtid="{D5CDD505-2E9C-101B-9397-08002B2CF9AE}" pid="8" name="MSIP_Label_d17f5eab-0951-45e7-baa9-357beec0b77b_ContentBits">
    <vt:lpwstr>0</vt:lpwstr>
  </property>
</Properties>
</file>