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AD3E3" w14:textId="0762A2E2" w:rsidR="00966835" w:rsidRPr="004F0493" w:rsidRDefault="004F0493" w:rsidP="004F0493">
      <w:pPr>
        <w:jc w:val="center"/>
        <w:rPr>
          <w:rFonts w:ascii="Calibri" w:hAnsi="Calibri" w:cs="Calibri"/>
          <w:b/>
          <w:bCs/>
          <w:sz w:val="22"/>
          <w:szCs w:val="22"/>
          <w:u w:val="single"/>
          <w:lang w:eastAsia="en-US"/>
        </w:rPr>
      </w:pPr>
      <w:r w:rsidRPr="004F0493">
        <w:rPr>
          <w:rFonts w:ascii="Calibri" w:hAnsi="Calibri" w:cs="Calibri"/>
          <w:b/>
          <w:bCs/>
          <w:sz w:val="22"/>
          <w:szCs w:val="22"/>
          <w:u w:val="single"/>
          <w:lang w:eastAsia="en-US"/>
        </w:rPr>
        <w:t>WBCIR:18415</w:t>
      </w:r>
    </w:p>
    <w:p w14:paraId="115B690D" w14:textId="77777777" w:rsidR="004F0493" w:rsidRPr="004F0493" w:rsidRDefault="004F0493" w:rsidP="00966835">
      <w:pPr>
        <w:rPr>
          <w:rFonts w:ascii="Calibri" w:hAnsi="Calibri" w:cs="Calibri"/>
          <w:b/>
          <w:bCs/>
          <w:sz w:val="22"/>
          <w:szCs w:val="22"/>
          <w:lang w:eastAsia="en-US"/>
        </w:rPr>
      </w:pPr>
    </w:p>
    <w:p w14:paraId="760F6802" w14:textId="77777777"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1. How many requests have been submitted to WBC for an Education, Health and Care (EHC) Needs Assessment have been submitted each year since 2019 to date.</w:t>
      </w:r>
    </w:p>
    <w:p w14:paraId="0E878A51" w14:textId="77777777"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2. How many requests to WBC for an Education, Health and Care (EHC) Needs Assessment have been accepted each year since 2019 to date.</w:t>
      </w:r>
    </w:p>
    <w:p w14:paraId="614CE5EA" w14:textId="77777777" w:rsidR="00966835" w:rsidRPr="004F0493" w:rsidRDefault="00966835" w:rsidP="00966835">
      <w:pPr>
        <w:rPr>
          <w:rFonts w:ascii="Calibri" w:hAnsi="Calibri" w:cs="Calibri"/>
          <w:sz w:val="22"/>
          <w:szCs w:val="22"/>
          <w:lang w:eastAsia="en-US"/>
        </w:rPr>
      </w:pPr>
    </w:p>
    <w:tbl>
      <w:tblPr>
        <w:tblW w:w="6160" w:type="dxa"/>
        <w:jc w:val="center"/>
        <w:tblCellMar>
          <w:left w:w="0" w:type="dxa"/>
          <w:right w:w="0" w:type="dxa"/>
        </w:tblCellMar>
        <w:tblLook w:val="04A0" w:firstRow="1" w:lastRow="0" w:firstColumn="1" w:lastColumn="0" w:noHBand="0" w:noVBand="1"/>
      </w:tblPr>
      <w:tblGrid>
        <w:gridCol w:w="1280"/>
        <w:gridCol w:w="2440"/>
        <w:gridCol w:w="2440"/>
      </w:tblGrid>
      <w:tr w:rsidR="004F0493" w:rsidRPr="004F0493" w14:paraId="3F6A18AA" w14:textId="77777777" w:rsidTr="004F0493">
        <w:trPr>
          <w:trHeight w:val="330"/>
          <w:jc w:val="center"/>
        </w:trPr>
        <w:tc>
          <w:tcPr>
            <w:tcW w:w="12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1D3D0A"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BB8C37"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Requests submitted</w:t>
            </w:r>
          </w:p>
        </w:tc>
        <w:tc>
          <w:tcPr>
            <w:tcW w:w="2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FEDCD2"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Accepted for assessment</w:t>
            </w:r>
          </w:p>
        </w:tc>
      </w:tr>
      <w:tr w:rsidR="004F0493" w:rsidRPr="004F0493" w14:paraId="1F8BAA25"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410A52"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2019</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5E074"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215</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094DC"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183</w:t>
            </w:r>
          </w:p>
        </w:tc>
      </w:tr>
      <w:tr w:rsidR="004F0493" w:rsidRPr="004F0493" w14:paraId="774FDC43"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0B0856"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2020</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B9C3D"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268</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B5B790"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208</w:t>
            </w:r>
          </w:p>
        </w:tc>
      </w:tr>
      <w:tr w:rsidR="004F0493" w:rsidRPr="004F0493" w14:paraId="783C78D9"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C1E515"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2021</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7E4274"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354</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81E3A"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291</w:t>
            </w:r>
          </w:p>
        </w:tc>
      </w:tr>
      <w:tr w:rsidR="004F0493" w:rsidRPr="004F0493" w14:paraId="43536909"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F51E9C"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2022</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4113A"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424</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35ADA5"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428</w:t>
            </w:r>
          </w:p>
        </w:tc>
      </w:tr>
      <w:tr w:rsidR="004F0493" w:rsidRPr="004F0493" w14:paraId="19CD6567"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F14CCB"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2023</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1BEF5F"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468</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BAF172"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455</w:t>
            </w:r>
          </w:p>
        </w:tc>
      </w:tr>
      <w:tr w:rsidR="004F0493" w:rsidRPr="004F0493" w14:paraId="39144F39" w14:textId="77777777" w:rsidTr="004F0493">
        <w:trPr>
          <w:trHeight w:val="330"/>
          <w:jc w:val="center"/>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7E2BA"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2024</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1F041"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250</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AE306" w14:textId="77777777" w:rsidR="00966835" w:rsidRPr="004F0493" w:rsidRDefault="00966835">
            <w:pPr>
              <w:jc w:val="center"/>
              <w:rPr>
                <w:rFonts w:ascii="Calibri" w:hAnsi="Calibri" w:cs="Calibri"/>
                <w:sz w:val="22"/>
                <w:szCs w:val="22"/>
              </w:rPr>
            </w:pPr>
            <w:r w:rsidRPr="004F0493">
              <w:rPr>
                <w:rFonts w:ascii="Calibri" w:hAnsi="Calibri" w:cs="Calibri"/>
                <w:sz w:val="22"/>
                <w:szCs w:val="22"/>
              </w:rPr>
              <w:t>228</w:t>
            </w:r>
          </w:p>
        </w:tc>
      </w:tr>
    </w:tbl>
    <w:p w14:paraId="7776DE45" w14:textId="77777777" w:rsidR="00966835" w:rsidRPr="004F0493" w:rsidRDefault="00966835" w:rsidP="00966835">
      <w:pPr>
        <w:rPr>
          <w:rFonts w:ascii="Calibri" w:hAnsi="Calibri" w:cs="Calibri"/>
          <w:sz w:val="22"/>
          <w:szCs w:val="22"/>
          <w:lang w:eastAsia="en-US"/>
        </w:rPr>
      </w:pPr>
    </w:p>
    <w:p w14:paraId="13CA9622" w14:textId="219F4DC2"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3. How many declined requests for an Education, Health and Care (EHC) Needs Assessment from WBC have gone through to the special education needs tribunal for appeal since 2019 to date.</w:t>
      </w:r>
    </w:p>
    <w:p w14:paraId="5DEE5C7C" w14:textId="77777777" w:rsidR="00966835" w:rsidRPr="004F0493" w:rsidRDefault="00966835" w:rsidP="00966835">
      <w:pPr>
        <w:rPr>
          <w:rFonts w:ascii="Calibri" w:hAnsi="Calibri" w:cs="Calibri"/>
          <w:sz w:val="22"/>
          <w:szCs w:val="22"/>
          <w:lang w:eastAsia="en-US"/>
        </w:rPr>
      </w:pPr>
      <w:r w:rsidRPr="004F0493">
        <w:rPr>
          <w:rFonts w:ascii="Calibri" w:hAnsi="Calibri" w:cs="Calibri"/>
          <w:sz w:val="22"/>
          <w:szCs w:val="22"/>
          <w:lang w:eastAsia="en-US"/>
        </w:rPr>
        <w:t>Data not recorded.</w:t>
      </w:r>
    </w:p>
    <w:p w14:paraId="7759F384" w14:textId="77777777" w:rsidR="00966835" w:rsidRPr="004F0493" w:rsidRDefault="00966835" w:rsidP="00966835">
      <w:pPr>
        <w:rPr>
          <w:rFonts w:ascii="Calibri" w:hAnsi="Calibri" w:cs="Calibri"/>
          <w:sz w:val="22"/>
          <w:szCs w:val="22"/>
          <w:lang w:eastAsia="en-US"/>
        </w:rPr>
      </w:pPr>
    </w:p>
    <w:p w14:paraId="1C5EE6FD" w14:textId="180F84C0"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4. How many declined requests for an Education, Health and Care (EHC) Needs Assessment to WBC have been overturned on appeal since 2019 to date.</w:t>
      </w:r>
    </w:p>
    <w:p w14:paraId="7A3A0823" w14:textId="6E37AEA2" w:rsidR="00966835" w:rsidRPr="004F0493" w:rsidRDefault="00966835" w:rsidP="00966835">
      <w:pPr>
        <w:rPr>
          <w:rFonts w:ascii="Calibri" w:hAnsi="Calibri" w:cs="Calibri"/>
          <w:sz w:val="22"/>
          <w:szCs w:val="22"/>
          <w:lang w:eastAsia="en-US"/>
        </w:rPr>
      </w:pPr>
      <w:r w:rsidRPr="004F0493">
        <w:rPr>
          <w:rFonts w:ascii="Calibri" w:hAnsi="Calibri" w:cs="Calibri"/>
          <w:sz w:val="22"/>
          <w:szCs w:val="22"/>
          <w:lang w:eastAsia="en-US"/>
        </w:rPr>
        <w:t>Data not recorded.</w:t>
      </w:r>
    </w:p>
    <w:p w14:paraId="3EDD616A" w14:textId="77777777" w:rsidR="00966835" w:rsidRPr="004F0493" w:rsidRDefault="00966835" w:rsidP="00966835">
      <w:pPr>
        <w:rPr>
          <w:rFonts w:ascii="Calibri" w:hAnsi="Calibri" w:cs="Calibri"/>
          <w:sz w:val="22"/>
          <w:szCs w:val="22"/>
          <w:lang w:eastAsia="en-US"/>
        </w:rPr>
      </w:pPr>
    </w:p>
    <w:p w14:paraId="7FD04349" w14:textId="77777777"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5. On average what length of time is a child's case discussed at a SEND panel at WBC?</w:t>
      </w:r>
    </w:p>
    <w:p w14:paraId="218F0EEC" w14:textId="77777777" w:rsidR="004F0493" w:rsidRPr="004F0493" w:rsidRDefault="00966835" w:rsidP="00966835">
      <w:pPr>
        <w:rPr>
          <w:rFonts w:ascii="Calibri" w:hAnsi="Calibri" w:cs="Calibri"/>
          <w:sz w:val="22"/>
          <w:szCs w:val="22"/>
          <w:lang w:eastAsia="en-US"/>
        </w:rPr>
      </w:pPr>
      <w:r w:rsidRPr="004F0493">
        <w:rPr>
          <w:rFonts w:ascii="Calibri" w:hAnsi="Calibri" w:cs="Calibri"/>
          <w:sz w:val="22"/>
          <w:szCs w:val="22"/>
          <w:lang w:eastAsia="en-US"/>
        </w:rPr>
        <w:t>We don’t have an average time.  Every child’s case is considered individually, with some discussions taking longer than others depending on the nature of the request and information to consider (e.g. statutory advice, reports and recommendations).</w:t>
      </w:r>
    </w:p>
    <w:p w14:paraId="075CECEC" w14:textId="77777777" w:rsidR="004F0493" w:rsidRPr="004F0493" w:rsidRDefault="004F0493" w:rsidP="00966835">
      <w:pPr>
        <w:rPr>
          <w:rFonts w:ascii="Calibri" w:hAnsi="Calibri" w:cs="Calibri"/>
          <w:sz w:val="22"/>
          <w:szCs w:val="22"/>
          <w:lang w:eastAsia="en-US"/>
        </w:rPr>
      </w:pPr>
    </w:p>
    <w:p w14:paraId="17E9A7CE" w14:textId="083C2B7C" w:rsidR="00966835" w:rsidRPr="004F0493" w:rsidRDefault="00966835" w:rsidP="00966835">
      <w:pPr>
        <w:rPr>
          <w:rFonts w:ascii="Calibri" w:hAnsi="Calibri" w:cs="Calibri"/>
          <w:b/>
          <w:bCs/>
          <w:sz w:val="22"/>
          <w:szCs w:val="22"/>
          <w:lang w:eastAsia="en-US"/>
        </w:rPr>
      </w:pPr>
      <w:r w:rsidRPr="004F0493">
        <w:rPr>
          <w:rFonts w:ascii="Calibri" w:hAnsi="Calibri" w:cs="Calibri"/>
          <w:b/>
          <w:bCs/>
          <w:sz w:val="22"/>
          <w:szCs w:val="22"/>
          <w:lang w:eastAsia="en-US"/>
        </w:rPr>
        <w:t>6. How often is the SEND panel held at WBC?</w:t>
      </w:r>
    </w:p>
    <w:p w14:paraId="79D73D29" w14:textId="77777777" w:rsidR="00966835" w:rsidRPr="004F0493" w:rsidRDefault="00966835" w:rsidP="00966835">
      <w:pPr>
        <w:rPr>
          <w:rFonts w:ascii="Calibri" w:hAnsi="Calibri" w:cs="Calibri"/>
          <w:sz w:val="22"/>
          <w:szCs w:val="22"/>
          <w:lang w:eastAsia="en-US"/>
        </w:rPr>
      </w:pPr>
      <w:r w:rsidRPr="004F0493">
        <w:rPr>
          <w:rFonts w:ascii="Calibri" w:hAnsi="Calibri" w:cs="Calibri"/>
          <w:sz w:val="22"/>
          <w:szCs w:val="22"/>
          <w:lang w:eastAsia="en-US"/>
        </w:rPr>
        <w:t xml:space="preserve">Weekly- every Wednesday </w:t>
      </w:r>
    </w:p>
    <w:p w14:paraId="681545BA" w14:textId="77777777" w:rsidR="00966835" w:rsidRPr="004F0493" w:rsidRDefault="00966835">
      <w:pPr>
        <w:rPr>
          <w:rFonts w:ascii="Calibri" w:hAnsi="Calibri" w:cs="Calibri"/>
          <w:sz w:val="22"/>
          <w:szCs w:val="22"/>
        </w:rPr>
      </w:pPr>
    </w:p>
    <w:sectPr w:rsidR="00966835" w:rsidRPr="004F0493">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5CB7" w14:textId="77777777" w:rsidR="00C575C4" w:rsidRDefault="00C575C4" w:rsidP="00966835">
      <w:r>
        <w:separator/>
      </w:r>
    </w:p>
  </w:endnote>
  <w:endnote w:type="continuationSeparator" w:id="0">
    <w:p w14:paraId="1FCF29D2" w14:textId="77777777" w:rsidR="00C575C4" w:rsidRDefault="00C575C4" w:rsidP="009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69874" w14:textId="26A8C7D0" w:rsidR="00966835" w:rsidRDefault="0096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1BA67" w14:textId="24492F50" w:rsidR="00966835" w:rsidRDefault="00966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7B0C2" w14:textId="40309ECF" w:rsidR="00966835" w:rsidRDefault="0096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99E8C" w14:textId="77777777" w:rsidR="00C575C4" w:rsidRDefault="00C575C4" w:rsidP="00966835">
      <w:r>
        <w:separator/>
      </w:r>
    </w:p>
  </w:footnote>
  <w:footnote w:type="continuationSeparator" w:id="0">
    <w:p w14:paraId="4F6A48CE" w14:textId="77777777" w:rsidR="00C575C4" w:rsidRDefault="00C575C4" w:rsidP="0096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35"/>
    <w:rsid w:val="004F0493"/>
    <w:rsid w:val="00966835"/>
    <w:rsid w:val="00C575C4"/>
    <w:rsid w:val="00E16559"/>
    <w:rsid w:val="00EA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3615"/>
  <w15:chartTrackingRefBased/>
  <w15:docId w15:val="{C346D0EF-6658-4143-8E51-401B1A2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35"/>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96683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6683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6683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66835"/>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966835"/>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966835"/>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966835"/>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966835"/>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966835"/>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68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68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68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68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68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68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68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6835"/>
    <w:rPr>
      <w:rFonts w:eastAsiaTheme="majorEastAsia" w:cstheme="majorBidi"/>
      <w:color w:val="272727" w:themeColor="text1" w:themeTint="D8"/>
    </w:rPr>
  </w:style>
  <w:style w:type="paragraph" w:styleId="Title">
    <w:name w:val="Title"/>
    <w:basedOn w:val="Normal"/>
    <w:next w:val="Normal"/>
    <w:link w:val="TitleChar"/>
    <w:uiPriority w:val="10"/>
    <w:qFormat/>
    <w:rsid w:val="0096683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668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83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668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6835"/>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966835"/>
    <w:rPr>
      <w:i/>
      <w:iCs/>
      <w:color w:val="404040" w:themeColor="text1" w:themeTint="BF"/>
    </w:rPr>
  </w:style>
  <w:style w:type="paragraph" w:styleId="ListParagraph">
    <w:name w:val="List Paragraph"/>
    <w:basedOn w:val="Normal"/>
    <w:uiPriority w:val="34"/>
    <w:qFormat/>
    <w:rsid w:val="00966835"/>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966835"/>
    <w:rPr>
      <w:i/>
      <w:iCs/>
      <w:color w:val="0F4761" w:themeColor="accent1" w:themeShade="BF"/>
    </w:rPr>
  </w:style>
  <w:style w:type="paragraph" w:styleId="IntenseQuote">
    <w:name w:val="Intense Quote"/>
    <w:basedOn w:val="Normal"/>
    <w:next w:val="Normal"/>
    <w:link w:val="IntenseQuoteChar"/>
    <w:uiPriority w:val="30"/>
    <w:qFormat/>
    <w:rsid w:val="0096683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966835"/>
    <w:rPr>
      <w:i/>
      <w:iCs/>
      <w:color w:val="0F4761" w:themeColor="accent1" w:themeShade="BF"/>
    </w:rPr>
  </w:style>
  <w:style w:type="character" w:styleId="IntenseReference">
    <w:name w:val="Intense Reference"/>
    <w:basedOn w:val="DefaultParagraphFont"/>
    <w:uiPriority w:val="32"/>
    <w:qFormat/>
    <w:rsid w:val="00966835"/>
    <w:rPr>
      <w:b/>
      <w:bCs/>
      <w:smallCaps/>
      <w:color w:val="0F4761" w:themeColor="accent1" w:themeShade="BF"/>
      <w:spacing w:val="5"/>
    </w:rPr>
  </w:style>
  <w:style w:type="paragraph" w:styleId="Footer">
    <w:name w:val="footer"/>
    <w:basedOn w:val="Normal"/>
    <w:link w:val="FooterChar"/>
    <w:uiPriority w:val="99"/>
    <w:unhideWhenUsed/>
    <w:rsid w:val="00966835"/>
    <w:pPr>
      <w:tabs>
        <w:tab w:val="center" w:pos="4513"/>
        <w:tab w:val="right" w:pos="9026"/>
      </w:tabs>
    </w:pPr>
  </w:style>
  <w:style w:type="character" w:customStyle="1" w:styleId="FooterChar">
    <w:name w:val="Footer Char"/>
    <w:basedOn w:val="DefaultParagraphFont"/>
    <w:link w:val="Footer"/>
    <w:uiPriority w:val="99"/>
    <w:rsid w:val="00966835"/>
    <w:rPr>
      <w:rFonts w:ascii="Aptos" w:hAnsi="Aptos" w:cs="Apto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15439">
      <w:bodyDiv w:val="1"/>
      <w:marLeft w:val="0"/>
      <w:marRight w:val="0"/>
      <w:marTop w:val="0"/>
      <w:marBottom w:val="0"/>
      <w:divBdr>
        <w:top w:val="none" w:sz="0" w:space="0" w:color="auto"/>
        <w:left w:val="none" w:sz="0" w:space="0" w:color="auto"/>
        <w:bottom w:val="none" w:sz="0" w:space="0" w:color="auto"/>
        <w:right w:val="none" w:sz="0" w:space="0" w:color="auto"/>
      </w:divBdr>
    </w:div>
    <w:div w:id="1296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Moore</dc:creator>
  <cp:keywords/>
  <dc:description/>
  <cp:lastModifiedBy>Frankie Lawrence</cp:lastModifiedBy>
  <cp:revision>2</cp:revision>
  <dcterms:created xsi:type="dcterms:W3CDTF">2024-06-21T10:53:00Z</dcterms:created>
  <dcterms:modified xsi:type="dcterms:W3CDTF">2024-06-21T10:53:00Z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2024-06-21T10:53:30Z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77df7cc6-e300-4665-9fbe-3dc12a06b210</vt:lpwstr>
  </property>
  <property fmtid="{D5CDD505-2E9C-101B-9397-08002B2CF9AE}" pid="8" name="MSIP_Label_d17f5eab-0951-45e7-baa9-357beec0b77b_ContentBits">
    <vt:lpwstr>0</vt:lpwstr>
  </property>
</Properties>
</file>