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2705" w14:textId="7EA9FC0F" w:rsidR="00C50CB3" w:rsidRPr="001845A0" w:rsidRDefault="001845A0" w:rsidP="001845A0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845A0">
        <w:rPr>
          <w:rFonts w:ascii="Calibri" w:hAnsi="Calibri" w:cs="Calibri"/>
          <w:b/>
          <w:bCs/>
          <w:sz w:val="22"/>
          <w:szCs w:val="22"/>
          <w:u w:val="single"/>
        </w:rPr>
        <w:t>WBCIR:</w:t>
      </w:r>
      <w:r w:rsidR="00C50CB3" w:rsidRPr="001845A0">
        <w:rPr>
          <w:rFonts w:ascii="Calibri" w:hAnsi="Calibri" w:cs="Calibri"/>
          <w:b/>
          <w:bCs/>
          <w:sz w:val="22"/>
          <w:szCs w:val="22"/>
          <w:u w:val="single"/>
        </w:rPr>
        <w:t>19164</w:t>
      </w:r>
    </w:p>
    <w:p w14:paraId="76C74B57" w14:textId="5BF248E6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b/>
          <w:bCs/>
          <w:kern w:val="0"/>
          <w:lang w:eastAsia="en-GB"/>
          <w14:ligatures w14:val="none"/>
        </w:rPr>
      </w:pPr>
    </w:p>
    <w:p w14:paraId="6817C162" w14:textId="593487F6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b/>
          <w:bCs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1. How much money did the council spend on SEND tribunals - please provide figures for the following financial years 2021/22, 2022/3 and 2023/4</w:t>
      </w:r>
      <w:r w:rsid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proofErr w:type="spellStart"/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i.e</w:t>
      </w:r>
      <w:proofErr w:type="spellEnd"/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proofErr w:type="gramEnd"/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the financial year 2022/3 - the council spent £100,000 on SEND tribunals</w:t>
      </w:r>
      <w:r w:rsid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. </w:t>
      </w:r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RE spending, I am looking for total costs associated with processing and defending SEND appeals and tribunal hearings which includes legal costs like instructing external solicitors, commissioning expert witnesses etc.</w:t>
      </w:r>
    </w:p>
    <w:p w14:paraId="524C7889" w14:textId="77777777" w:rsidR="00C50CB3" w:rsidRDefault="00C50CB3" w:rsidP="00C50CB3">
      <w:pPr>
        <w:spacing w:after="0" w:line="240" w:lineRule="auto"/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</w:pPr>
      <w:r w:rsidRPr="001845A0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 See below table </w:t>
      </w:r>
    </w:p>
    <w:p w14:paraId="5C52C34F" w14:textId="77777777" w:rsidR="001845A0" w:rsidRPr="001845A0" w:rsidRDefault="001845A0" w:rsidP="00C50CB3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</w:p>
    <w:p w14:paraId="5AB8F8DC" w14:textId="77777777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b/>
          <w:bCs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2. In recent years, how many appeals were registered with the SEND Tribunal in relation to decisions made by the council? Please provide figures for the following financial years 2021/22, 2022/3 and 2023/4</w:t>
      </w:r>
    </w:p>
    <w:p w14:paraId="052FE8A4" w14:textId="77777777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 xml:space="preserve">See below table </w:t>
      </w:r>
    </w:p>
    <w:p w14:paraId="348FA3C0" w14:textId="77777777" w:rsidR="001845A0" w:rsidRPr="001845A0" w:rsidRDefault="001845A0" w:rsidP="00C50CB3">
      <w:pPr>
        <w:spacing w:after="0" w:line="240" w:lineRule="auto"/>
        <w:rPr>
          <w:rFonts w:ascii="Aptos" w:eastAsia="Aptos" w:hAnsi="Aptos" w:cs="Aptos"/>
          <w:b/>
          <w:bCs/>
          <w:kern w:val="0"/>
          <w:lang w:eastAsia="en-GB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37"/>
      </w:tblGrid>
      <w:tr w:rsidR="00C50CB3" w:rsidRPr="00C50CB3" w14:paraId="3B8709F9" w14:textId="77777777" w:rsidTr="00C50CB3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D99F" w14:textId="0589C536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D715D" w14:textId="115F4E89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FD5D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Tribunal Notification date</w:t>
            </w: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A6F1" w14:textId="10548DCD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Spend</w:t>
            </w:r>
          </w:p>
        </w:tc>
      </w:tr>
      <w:tr w:rsidR="00C50CB3" w:rsidRPr="00C50CB3" w14:paraId="0E439007" w14:textId="77777777" w:rsidTr="00C50CB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658F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01/04/2021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F01A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31/03/2022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BE0E" w14:textId="77777777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  <w:r w:rsidRPr="00C50CB3">
              <w:rPr>
                <w:rFonts w:ascii="Calibri" w:eastAsia="Aptos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0A29" w14:textId="77777777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  <w:r w:rsidRPr="00C50CB3">
              <w:rPr>
                <w:rFonts w:ascii="Aptos" w:eastAsia="Aptos" w:hAnsi="Aptos" w:cs="Aptos"/>
                <w:kern w:val="0"/>
                <w:sz w:val="22"/>
                <w:szCs w:val="22"/>
                <w14:ligatures w14:val="none"/>
              </w:rPr>
              <w:t>£98,414</w:t>
            </w:r>
          </w:p>
        </w:tc>
      </w:tr>
      <w:tr w:rsidR="00C50CB3" w:rsidRPr="00C50CB3" w14:paraId="26B86ACA" w14:textId="77777777" w:rsidTr="00C50CB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1ACF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01/04/2022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64EDD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31/03/2023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C620E" w14:textId="77777777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  <w:r w:rsidRPr="00C50CB3">
              <w:rPr>
                <w:rFonts w:ascii="Calibri" w:eastAsia="Aptos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90F9" w14:textId="77777777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  <w:r w:rsidRPr="00C50CB3">
              <w:rPr>
                <w:rFonts w:ascii="Calibri" w:eastAsia="Aptos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£94,170</w:t>
            </w:r>
          </w:p>
        </w:tc>
      </w:tr>
      <w:tr w:rsidR="00C50CB3" w:rsidRPr="00C50CB3" w14:paraId="10EFC39B" w14:textId="77777777" w:rsidTr="00C50CB3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820E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01/04/2023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0F2D" w14:textId="77777777" w:rsidR="00C50CB3" w:rsidRPr="001845A0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b/>
                <w:bCs/>
                <w:kern w:val="0"/>
                <w:lang w:eastAsia="en-GB"/>
                <w14:ligatures w14:val="none"/>
              </w:rPr>
            </w:pPr>
            <w:r w:rsidRPr="001845A0">
              <w:rPr>
                <w:rFonts w:ascii="Calibri" w:eastAsia="Aptos" w:hAnsi="Calibri" w:cs="Calibri"/>
                <w:b/>
                <w:bCs/>
                <w:kern w:val="0"/>
                <w:sz w:val="22"/>
                <w:szCs w:val="22"/>
                <w:lang w:eastAsia="en-GB"/>
                <w14:ligatures w14:val="none"/>
              </w:rPr>
              <w:t>31/03/2024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251C" w14:textId="77777777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  <w:r w:rsidRPr="00C50CB3">
              <w:rPr>
                <w:rFonts w:ascii="Calibri" w:eastAsia="Aptos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99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9570" w14:textId="77777777" w:rsidR="00C50CB3" w:rsidRPr="00C50CB3" w:rsidRDefault="00C50CB3" w:rsidP="001845A0">
            <w:pPr>
              <w:spacing w:after="0" w:line="240" w:lineRule="auto"/>
              <w:jc w:val="center"/>
              <w:rPr>
                <w:rFonts w:ascii="Aptos" w:eastAsia="Aptos" w:hAnsi="Aptos" w:cs="Aptos"/>
                <w:kern w:val="0"/>
                <w:lang w:eastAsia="en-GB"/>
                <w14:ligatures w14:val="none"/>
              </w:rPr>
            </w:pPr>
            <w:r w:rsidRPr="00C50CB3">
              <w:rPr>
                <w:rFonts w:ascii="Calibri" w:eastAsia="Aptos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£229,242</w:t>
            </w:r>
          </w:p>
        </w:tc>
      </w:tr>
    </w:tbl>
    <w:p w14:paraId="592FC396" w14:textId="77777777" w:rsidR="00C50CB3" w:rsidRPr="00C50CB3" w:rsidRDefault="00C50CB3" w:rsidP="00C50CB3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C50CB3">
        <w:rPr>
          <w:rFonts w:ascii="Calibri" w:eastAsia="Aptos" w:hAnsi="Calibri" w:cs="Calibri"/>
          <w:kern w:val="0"/>
          <w:sz w:val="22"/>
          <w:szCs w:val="22"/>
          <w:lang w:eastAsia="en-GB"/>
          <w14:ligatures w14:val="none"/>
        </w:rPr>
        <w:t> </w:t>
      </w:r>
    </w:p>
    <w:p w14:paraId="186F26C3" w14:textId="77777777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b/>
          <w:bCs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3. Of the appeals that eventually went to a formal tribunal hearing, how many ruled in favour of the council? Please provide figures for the following financial years 2021/22, 2022/3 and 2023/4</w:t>
      </w:r>
    </w:p>
    <w:p w14:paraId="4EBF1848" w14:textId="35213F86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kern w:val="0"/>
          <w:sz w:val="22"/>
          <w:szCs w:val="22"/>
          <w14:ligatures w14:val="none"/>
        </w:rPr>
        <w:t>The report only states the outcome, not whether it favours the council or parent.</w:t>
      </w:r>
    </w:p>
    <w:p w14:paraId="14135FE5" w14:textId="77777777" w:rsidR="00C50CB3" w:rsidRPr="00C50CB3" w:rsidRDefault="00C50CB3" w:rsidP="00C50CB3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C50CB3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5779C763" w14:textId="35B32863" w:rsidR="001845A0" w:rsidRPr="001845A0" w:rsidRDefault="00C50CB3" w:rsidP="001845A0">
      <w:pPr>
        <w:spacing w:after="0" w:line="240" w:lineRule="auto"/>
        <w:rPr>
          <w:rFonts w:ascii="Aptos" w:eastAsia="Aptos" w:hAnsi="Aptos" w:cs="Aptos"/>
          <w:b/>
          <w:bCs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4. Of the appeals that eventually went to a formal tribunal hearing, how many ruled in favour of parents / families/ young people? Please provide figures for the following financial years 2021/22, 2022/3 and 2023/4</w:t>
      </w:r>
      <w:r w:rsid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.</w:t>
      </w:r>
      <w:r w:rsidR="001845A0"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 w:rsidR="001845A0"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i.e</w:t>
      </w:r>
      <w:proofErr w:type="spellEnd"/>
      <w:r w:rsidR="001845A0"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gramStart"/>
      <w:r w:rsidR="001845A0"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>In</w:t>
      </w:r>
      <w:proofErr w:type="gramEnd"/>
      <w:r w:rsidR="001845A0" w:rsidRPr="001845A0">
        <w:rPr>
          <w:rFonts w:ascii="Calibri" w:eastAsia="Aptos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the financial year 2022/3 - the council spent £100,000 to SEND tribunals. In 2022/3, 40 appeals went to a formal tribunal hearing. 15 of these tribunals ruled in favour of parents</w:t>
      </w:r>
    </w:p>
    <w:p w14:paraId="68818D67" w14:textId="77777777" w:rsidR="00C50CB3" w:rsidRPr="001845A0" w:rsidRDefault="00C50CB3" w:rsidP="00C50CB3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kern w:val="0"/>
          <w:sz w:val="22"/>
          <w:szCs w:val="22"/>
          <w14:ligatures w14:val="none"/>
        </w:rPr>
        <w:t>The report only states the outcome, not whether it favours the council or parent.</w:t>
      </w:r>
    </w:p>
    <w:p w14:paraId="0E998A54" w14:textId="578EBE30" w:rsidR="00C50CB3" w:rsidRPr="00C50CB3" w:rsidRDefault="00C50CB3" w:rsidP="001845A0">
      <w:pPr>
        <w:spacing w:after="0" w:line="240" w:lineRule="auto"/>
        <w:rPr>
          <w:rFonts w:ascii="Aptos" w:eastAsia="Aptos" w:hAnsi="Aptos" w:cs="Aptos"/>
          <w:kern w:val="0"/>
          <w:lang w:eastAsia="en-GB"/>
          <w14:ligatures w14:val="none"/>
        </w:rPr>
      </w:pPr>
      <w:r w:rsidRPr="001845A0">
        <w:rPr>
          <w:rFonts w:ascii="Calibri" w:eastAsia="Aptos" w:hAnsi="Calibri" w:cs="Calibri"/>
          <w:color w:val="000000"/>
          <w:kern w:val="0"/>
          <w:sz w:val="22"/>
          <w:szCs w:val="22"/>
          <w14:ligatures w14:val="none"/>
        </w:rPr>
        <w:t> </w:t>
      </w:r>
    </w:p>
    <w:p w14:paraId="1E57B7BB" w14:textId="77777777" w:rsidR="00C50CB3" w:rsidRDefault="00C50CB3"/>
    <w:sectPr w:rsidR="00C50CB3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5B2F1" w14:textId="77777777" w:rsidR="00F03DED" w:rsidRDefault="00F03DED" w:rsidP="00C50CB3">
      <w:pPr>
        <w:spacing w:after="0" w:line="240" w:lineRule="auto"/>
      </w:pPr>
      <w:r>
        <w:separator/>
      </w:r>
    </w:p>
  </w:endnote>
  <w:endnote w:type="continuationSeparator" w:id="0">
    <w:p w14:paraId="490CCBB9" w14:textId="77777777" w:rsidR="00F03DED" w:rsidRDefault="00F03DED" w:rsidP="00C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DD38" w14:textId="395D66E3" w:rsidR="00C50CB3" w:rsidRDefault="00C5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C2D1F" w14:textId="4DEA8782" w:rsidR="00C50CB3" w:rsidRDefault="00C50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1CC4" w14:textId="1A230E5B" w:rsidR="00C50CB3" w:rsidRDefault="00C50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A2CD" w14:textId="77777777" w:rsidR="00F03DED" w:rsidRDefault="00F03DED" w:rsidP="00C50CB3">
      <w:pPr>
        <w:spacing w:after="0" w:line="240" w:lineRule="auto"/>
      </w:pPr>
      <w:r>
        <w:separator/>
      </w:r>
    </w:p>
  </w:footnote>
  <w:footnote w:type="continuationSeparator" w:id="0">
    <w:p w14:paraId="68B297DA" w14:textId="77777777" w:rsidR="00F03DED" w:rsidRDefault="00F03DED" w:rsidP="00C50C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3"/>
    <w:rsid w:val="001845A0"/>
    <w:rsid w:val="00A924CF"/>
    <w:rsid w:val="00BA5CCC"/>
    <w:rsid w:val="00C50CB3"/>
    <w:rsid w:val="00F0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7128"/>
  <w15:chartTrackingRefBased/>
  <w15:docId w15:val="{F1AE3652-2D71-4C06-BD8A-4A9991F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CB3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50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2025-01-30T12:34:00Z</dcterms:created>
  <dcterms:modified xsi:type="dcterms:W3CDTF">2025-01-30T12:34:00Z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2025-01-30T12:30:49Z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bec93c64-c80b-48ed-a8d1-a90d633302de</vt:lpwstr>
  </property>
  <property fmtid="{D5CDD505-2E9C-101B-9397-08002B2CF9AE}" pid="8" name="MSIP_Label_d17f5eab-0951-45e7-baa9-357beec0b77b_ContentBits">
    <vt:lpwstr>0</vt:lpwstr>
  </property>
</Properties>
</file>