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4D4E" w14:textId="746152E2" w:rsidR="003A3AAB" w:rsidRPr="003A3AAB" w:rsidRDefault="003A3AAB" w:rsidP="003A3AAB">
      <w:pPr>
        <w:pStyle w:val="NoSpacing"/>
        <w:jc w:val="center"/>
        <w:rPr>
          <w:rFonts w:ascii="Calibri" w:hAnsi="Calibri" w:cs="Calibri"/>
          <w:b/>
          <w:bCs/>
          <w:sz w:val="22"/>
          <w:szCs w:val="22"/>
          <w:u w:val="single"/>
        </w:rPr>
      </w:pPr>
      <w:r w:rsidRPr="003A3AAB">
        <w:rPr>
          <w:rFonts w:ascii="Calibri" w:hAnsi="Calibri" w:cs="Calibri"/>
          <w:b/>
          <w:bCs/>
          <w:sz w:val="22"/>
          <w:szCs w:val="22"/>
          <w:u w:val="single"/>
        </w:rPr>
        <w:t>WBCIR:19662</w:t>
      </w:r>
    </w:p>
    <w:p w14:paraId="3DA75AC0" w14:textId="77777777" w:rsidR="003A3AAB" w:rsidRPr="003A3AAB" w:rsidRDefault="003A3AAB" w:rsidP="003A3AAB">
      <w:pPr>
        <w:pStyle w:val="NoSpacing"/>
        <w:rPr>
          <w:rFonts w:ascii="Calibri" w:hAnsi="Calibri" w:cs="Calibri"/>
          <w:b/>
          <w:bCs/>
          <w:sz w:val="22"/>
          <w:szCs w:val="22"/>
        </w:rPr>
      </w:pPr>
    </w:p>
    <w:p w14:paraId="3E29FB2F" w14:textId="72896B4D" w:rsidR="003A3AAB" w:rsidRPr="003A3AAB" w:rsidRDefault="003A3AAB" w:rsidP="003A3AAB">
      <w:pPr>
        <w:pStyle w:val="NoSpacing"/>
        <w:rPr>
          <w:rFonts w:ascii="Calibri" w:hAnsi="Calibri" w:cs="Calibri"/>
          <w:b/>
          <w:bCs/>
          <w:sz w:val="22"/>
          <w:szCs w:val="22"/>
        </w:rPr>
      </w:pPr>
      <w:r w:rsidRPr="003A3AAB">
        <w:rPr>
          <w:rFonts w:ascii="Calibri" w:hAnsi="Calibri" w:cs="Calibri"/>
          <w:b/>
          <w:bCs/>
          <w:sz w:val="22"/>
          <w:szCs w:val="22"/>
        </w:rPr>
        <w:t>As a freedom of information request, please answer the following questions for the financial years: 21-22, 22-23, 23-24, 24-25.</w:t>
      </w:r>
    </w:p>
    <w:p w14:paraId="6B960E11" w14:textId="77777777" w:rsidR="003A3AAB" w:rsidRPr="003A3AAB" w:rsidRDefault="003A3AAB" w:rsidP="003A3AAB">
      <w:pPr>
        <w:pStyle w:val="NoSpacing"/>
        <w:rPr>
          <w:rFonts w:ascii="Calibri" w:hAnsi="Calibri" w:cs="Calibri"/>
          <w:b/>
          <w:bCs/>
          <w:sz w:val="22"/>
          <w:szCs w:val="22"/>
        </w:rPr>
      </w:pPr>
    </w:p>
    <w:p w14:paraId="21EA5690" w14:textId="77777777" w:rsidR="003A3AAB" w:rsidRPr="003A3AAB" w:rsidRDefault="003A3AAB" w:rsidP="003A3AAB">
      <w:pPr>
        <w:pStyle w:val="NoSpacing"/>
        <w:rPr>
          <w:rFonts w:ascii="Calibri" w:hAnsi="Calibri" w:cs="Calibri"/>
          <w:b/>
          <w:bCs/>
          <w:sz w:val="22"/>
          <w:szCs w:val="22"/>
        </w:rPr>
      </w:pPr>
      <w:r w:rsidRPr="003A3AAB">
        <w:rPr>
          <w:rFonts w:ascii="Calibri" w:hAnsi="Calibri" w:cs="Calibri"/>
          <w:b/>
          <w:bCs/>
          <w:sz w:val="22"/>
          <w:szCs w:val="22"/>
        </w:rPr>
        <w:t xml:space="preserve">1. How many accounts were raised at billing in financial year? </w:t>
      </w:r>
    </w:p>
    <w:p w14:paraId="76A693C4" w14:textId="581B1465"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292,493</w:t>
      </w:r>
    </w:p>
    <w:p w14:paraId="6F7FAE20" w14:textId="77777777" w:rsidR="003A3AAB" w:rsidRPr="003A3AAB" w:rsidRDefault="003A3AAB" w:rsidP="003A3AAB">
      <w:pPr>
        <w:pStyle w:val="NoSpacing"/>
        <w:rPr>
          <w:rFonts w:ascii="Calibri" w:hAnsi="Calibri" w:cs="Calibri"/>
          <w:sz w:val="22"/>
          <w:szCs w:val="22"/>
        </w:rPr>
      </w:pPr>
    </w:p>
    <w:p w14:paraId="351EF7E7" w14:textId="7606A606" w:rsidR="003A3AAB" w:rsidRPr="003A3AAB" w:rsidRDefault="003A3AAB" w:rsidP="003A3AAB">
      <w:pPr>
        <w:pStyle w:val="NoSpacing"/>
        <w:rPr>
          <w:rFonts w:ascii="Calibri" w:hAnsi="Calibri" w:cs="Calibri"/>
          <w:sz w:val="22"/>
          <w:szCs w:val="22"/>
        </w:rPr>
      </w:pPr>
      <w:r w:rsidRPr="003A3AAB">
        <w:rPr>
          <w:rFonts w:ascii="Calibri" w:hAnsi="Calibri" w:cs="Calibri"/>
          <w:b/>
          <w:bCs/>
          <w:sz w:val="22"/>
          <w:szCs w:val="22"/>
        </w:rPr>
        <w:t>2. What was the total value of liability in financial year?</w:t>
      </w:r>
      <w:r w:rsidRPr="003A3AAB">
        <w:rPr>
          <w:rFonts w:ascii="Calibri" w:hAnsi="Calibri" w:cs="Calibri"/>
          <w:sz w:val="22"/>
          <w:szCs w:val="22"/>
        </w:rPr>
        <w:t xml:space="preserve"> £642,058,425.00</w:t>
      </w:r>
      <w:r w:rsidRPr="003A3AAB">
        <w:rPr>
          <w:rFonts w:ascii="Calibri" w:hAnsi="Calibri" w:cs="Calibri"/>
          <w:sz w:val="22"/>
          <w:szCs w:val="22"/>
        </w:rPr>
        <w:br/>
        <w:t>2021/22 £148,025,038.63</w:t>
      </w:r>
      <w:r w:rsidRPr="003A3AAB">
        <w:rPr>
          <w:rFonts w:ascii="Calibri" w:hAnsi="Calibri" w:cs="Calibri"/>
          <w:sz w:val="22"/>
          <w:szCs w:val="22"/>
        </w:rPr>
        <w:br/>
        <w:t>2022/23 £154,740,135.81</w:t>
      </w:r>
      <w:r w:rsidRPr="003A3AAB">
        <w:rPr>
          <w:rFonts w:ascii="Calibri" w:hAnsi="Calibri" w:cs="Calibri"/>
          <w:sz w:val="22"/>
          <w:szCs w:val="22"/>
        </w:rPr>
        <w:br/>
        <w:t>2023/24 £164,597,766.75</w:t>
      </w:r>
      <w:r w:rsidRPr="003A3AAB">
        <w:rPr>
          <w:rFonts w:ascii="Calibri" w:hAnsi="Calibri" w:cs="Calibri"/>
          <w:sz w:val="22"/>
          <w:szCs w:val="22"/>
        </w:rPr>
        <w:br/>
        <w:t>2024/25 £174,695,483.81</w:t>
      </w:r>
      <w:r w:rsidRPr="003A3AAB">
        <w:rPr>
          <w:rFonts w:ascii="Calibri" w:hAnsi="Calibri" w:cs="Calibri"/>
          <w:sz w:val="22"/>
          <w:szCs w:val="22"/>
        </w:rPr>
        <w:br/>
        <w:t>Total £642,058,425.00</w:t>
      </w:r>
    </w:p>
    <w:p w14:paraId="6B99D636" w14:textId="77777777" w:rsidR="003A3AAB" w:rsidRPr="003A3AAB" w:rsidRDefault="003A3AAB" w:rsidP="003A3AAB">
      <w:pPr>
        <w:pStyle w:val="NoSpacing"/>
        <w:rPr>
          <w:rFonts w:ascii="Calibri" w:hAnsi="Calibri" w:cs="Calibri"/>
          <w:sz w:val="22"/>
          <w:szCs w:val="22"/>
        </w:rPr>
      </w:pPr>
    </w:p>
    <w:p w14:paraId="001923B3" w14:textId="77777777" w:rsidR="003A3AAB" w:rsidRPr="003A3AAB" w:rsidRDefault="003A3AAB" w:rsidP="003A3AAB">
      <w:pPr>
        <w:pStyle w:val="NoSpacing"/>
        <w:rPr>
          <w:rFonts w:ascii="Calibri" w:hAnsi="Calibri" w:cs="Calibri"/>
          <w:b/>
          <w:bCs/>
          <w:sz w:val="22"/>
          <w:szCs w:val="22"/>
        </w:rPr>
      </w:pPr>
      <w:r w:rsidRPr="003A3AAB">
        <w:rPr>
          <w:rFonts w:ascii="Calibri" w:hAnsi="Calibri" w:cs="Calibri"/>
          <w:b/>
          <w:bCs/>
          <w:sz w:val="22"/>
          <w:szCs w:val="22"/>
        </w:rPr>
        <w:t>3. How many accounts were in arrears at the end of the financial year?</w:t>
      </w:r>
    </w:p>
    <w:tbl>
      <w:tblPr>
        <w:tblW w:w="2261" w:type="dxa"/>
        <w:jc w:val="center"/>
        <w:tblCellMar>
          <w:left w:w="0" w:type="dxa"/>
          <w:right w:w="0" w:type="dxa"/>
        </w:tblCellMar>
        <w:tblLook w:val="04A0" w:firstRow="1" w:lastRow="0" w:firstColumn="1" w:lastColumn="0" w:noHBand="0" w:noVBand="1"/>
      </w:tblPr>
      <w:tblGrid>
        <w:gridCol w:w="1023"/>
        <w:gridCol w:w="1238"/>
      </w:tblGrid>
      <w:tr w:rsidR="003A3AAB" w:rsidRPr="003A3AAB" w14:paraId="373711C7" w14:textId="77777777" w:rsidTr="003A3AAB">
        <w:trPr>
          <w:trHeight w:val="312"/>
          <w:jc w:val="center"/>
        </w:trPr>
        <w:tc>
          <w:tcPr>
            <w:tcW w:w="102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EF6E05"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2021/22</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5C7D13"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4374</w:t>
            </w:r>
          </w:p>
        </w:tc>
      </w:tr>
      <w:tr w:rsidR="003A3AAB" w:rsidRPr="003A3AAB" w14:paraId="06E18B59"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B1CAE5"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2022/23</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C19798"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4275</w:t>
            </w:r>
          </w:p>
        </w:tc>
      </w:tr>
      <w:tr w:rsidR="003A3AAB" w:rsidRPr="003A3AAB" w14:paraId="24F3B326"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AB82D1"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2023/24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C64937"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4602</w:t>
            </w:r>
          </w:p>
        </w:tc>
      </w:tr>
      <w:tr w:rsidR="003A3AAB" w:rsidRPr="003A3AAB" w14:paraId="3FA52204"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2C8F7F"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2024/25</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89DB0C"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4845</w:t>
            </w:r>
          </w:p>
        </w:tc>
      </w:tr>
    </w:tbl>
    <w:p w14:paraId="307514E9" w14:textId="36EB256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 xml:space="preserve">The amounts listed are the number of Council Tax accounts in arrears at the end of the financial year relating to that financial year. </w:t>
      </w:r>
    </w:p>
    <w:p w14:paraId="60AE3EC9" w14:textId="77777777" w:rsidR="003A3AAB" w:rsidRPr="003A3AAB" w:rsidRDefault="003A3AAB" w:rsidP="003A3AAB">
      <w:pPr>
        <w:pStyle w:val="NoSpacing"/>
        <w:rPr>
          <w:rFonts w:ascii="Calibri" w:hAnsi="Calibri" w:cs="Calibri"/>
          <w:sz w:val="22"/>
          <w:szCs w:val="22"/>
        </w:rPr>
      </w:pPr>
    </w:p>
    <w:p w14:paraId="5F7B4824" w14:textId="77777777" w:rsidR="003A3AAB" w:rsidRPr="003A3AAB" w:rsidRDefault="003A3AAB" w:rsidP="003A3AAB">
      <w:pPr>
        <w:pStyle w:val="NoSpacing"/>
        <w:rPr>
          <w:rFonts w:ascii="Calibri" w:hAnsi="Calibri" w:cs="Calibri"/>
          <w:sz w:val="22"/>
          <w:szCs w:val="22"/>
        </w:rPr>
      </w:pPr>
    </w:p>
    <w:p w14:paraId="178B7D2D" w14:textId="77777777" w:rsidR="003A3AAB" w:rsidRPr="003A3AAB" w:rsidRDefault="003A3AAB" w:rsidP="003A3AAB">
      <w:pPr>
        <w:pStyle w:val="NoSpacing"/>
        <w:rPr>
          <w:rFonts w:ascii="Calibri" w:hAnsi="Calibri" w:cs="Calibri"/>
          <w:b/>
          <w:bCs/>
          <w:sz w:val="22"/>
          <w:szCs w:val="22"/>
        </w:rPr>
      </w:pPr>
      <w:r w:rsidRPr="003A3AAB">
        <w:rPr>
          <w:rFonts w:ascii="Calibri" w:hAnsi="Calibri" w:cs="Calibri"/>
          <w:b/>
          <w:bCs/>
          <w:sz w:val="22"/>
          <w:szCs w:val="22"/>
        </w:rPr>
        <w:t>4. How was the value of arrears in that financial year?</w:t>
      </w:r>
    </w:p>
    <w:tbl>
      <w:tblPr>
        <w:tblW w:w="2261" w:type="dxa"/>
        <w:jc w:val="center"/>
        <w:tblCellMar>
          <w:left w:w="0" w:type="dxa"/>
          <w:right w:w="0" w:type="dxa"/>
        </w:tblCellMar>
        <w:tblLook w:val="04A0" w:firstRow="1" w:lastRow="0" w:firstColumn="1" w:lastColumn="0" w:noHBand="0" w:noVBand="1"/>
      </w:tblPr>
      <w:tblGrid>
        <w:gridCol w:w="1023"/>
        <w:gridCol w:w="1238"/>
      </w:tblGrid>
      <w:tr w:rsidR="003A3AAB" w:rsidRPr="003A3AAB" w14:paraId="0D4EF491" w14:textId="77777777" w:rsidTr="003A3AAB">
        <w:trPr>
          <w:trHeight w:val="312"/>
          <w:jc w:val="center"/>
        </w:trPr>
        <w:tc>
          <w:tcPr>
            <w:tcW w:w="102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BD931F"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2021/22</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C1EA86"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£936,000</w:t>
            </w:r>
          </w:p>
        </w:tc>
      </w:tr>
      <w:tr w:rsidR="003A3AAB" w:rsidRPr="003A3AAB" w14:paraId="7057C125"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092902"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2022/23</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76EC65"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£932,000</w:t>
            </w:r>
          </w:p>
        </w:tc>
      </w:tr>
      <w:tr w:rsidR="003A3AAB" w:rsidRPr="003A3AAB" w14:paraId="0370FD86"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999C34"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2023/24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0A6928"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£1,415,000</w:t>
            </w:r>
          </w:p>
        </w:tc>
      </w:tr>
      <w:tr w:rsidR="003A3AAB" w:rsidRPr="003A3AAB" w14:paraId="7D3A06DC"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BAB6ED"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2024/25</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08733F"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£1,776,000</w:t>
            </w:r>
          </w:p>
        </w:tc>
      </w:tr>
    </w:tbl>
    <w:p w14:paraId="6D66CFD7" w14:textId="71C8A58C"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The above figures relate to the value of Council Tax debt owed as at the end of each financial year, for that financial year (QRC4 figures).</w:t>
      </w:r>
    </w:p>
    <w:p w14:paraId="5D4DDE45" w14:textId="77777777" w:rsidR="003A3AAB" w:rsidRPr="003A3AAB" w:rsidRDefault="003A3AAB" w:rsidP="003A3AAB">
      <w:pPr>
        <w:pStyle w:val="NoSpacing"/>
        <w:rPr>
          <w:rFonts w:ascii="Calibri" w:hAnsi="Calibri" w:cs="Calibri"/>
          <w:sz w:val="22"/>
          <w:szCs w:val="22"/>
        </w:rPr>
      </w:pPr>
    </w:p>
    <w:p w14:paraId="0F54DC61" w14:textId="77777777" w:rsidR="003A3AAB" w:rsidRPr="003A3AAB" w:rsidRDefault="003A3AAB" w:rsidP="003A3AAB">
      <w:pPr>
        <w:pStyle w:val="NoSpacing"/>
        <w:rPr>
          <w:rFonts w:ascii="Calibri" w:hAnsi="Calibri" w:cs="Calibri"/>
          <w:b/>
          <w:bCs/>
          <w:sz w:val="22"/>
          <w:szCs w:val="22"/>
        </w:rPr>
      </w:pPr>
      <w:r w:rsidRPr="003A3AAB">
        <w:rPr>
          <w:rFonts w:ascii="Calibri" w:hAnsi="Calibri" w:cs="Calibri"/>
          <w:b/>
          <w:bCs/>
          <w:sz w:val="22"/>
          <w:szCs w:val="22"/>
        </w:rPr>
        <w:t>5. How many council tax cases were referred to bailiffs?</w:t>
      </w:r>
    </w:p>
    <w:tbl>
      <w:tblPr>
        <w:tblW w:w="2261" w:type="dxa"/>
        <w:jc w:val="center"/>
        <w:tblCellMar>
          <w:left w:w="0" w:type="dxa"/>
          <w:right w:w="0" w:type="dxa"/>
        </w:tblCellMar>
        <w:tblLook w:val="04A0" w:firstRow="1" w:lastRow="0" w:firstColumn="1" w:lastColumn="0" w:noHBand="0" w:noVBand="1"/>
      </w:tblPr>
      <w:tblGrid>
        <w:gridCol w:w="1023"/>
        <w:gridCol w:w="1238"/>
      </w:tblGrid>
      <w:tr w:rsidR="003A3AAB" w:rsidRPr="003A3AAB" w14:paraId="5DFCF5F5" w14:textId="77777777" w:rsidTr="003A3AAB">
        <w:trPr>
          <w:trHeight w:val="312"/>
          <w:jc w:val="center"/>
        </w:trPr>
        <w:tc>
          <w:tcPr>
            <w:tcW w:w="102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19BE73"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2021/22</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AC170C"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3053</w:t>
            </w:r>
          </w:p>
        </w:tc>
      </w:tr>
      <w:tr w:rsidR="003A3AAB" w:rsidRPr="003A3AAB" w14:paraId="47601B2E"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74A699"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2022/23</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281952"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3420</w:t>
            </w:r>
          </w:p>
        </w:tc>
      </w:tr>
      <w:tr w:rsidR="003A3AAB" w:rsidRPr="003A3AAB" w14:paraId="0FD7FF10"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FF9CFC"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2023/24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65142"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3114</w:t>
            </w:r>
          </w:p>
        </w:tc>
      </w:tr>
      <w:tr w:rsidR="003A3AAB" w:rsidRPr="003A3AAB" w14:paraId="17056358"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0B11F"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2024/25</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77E7D3"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2794</w:t>
            </w:r>
          </w:p>
        </w:tc>
      </w:tr>
    </w:tbl>
    <w:p w14:paraId="7EAFFC53" w14:textId="3CF75CB8"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The above amounts are the total number of Council Tax Liability Order cases issued to Enforcement Agents for collection in each financial year. Note where one Enforcement Agent was instructed and was unsuccessful in enforcing payment and another Enforcement Agent was subsequently instructed, the same case will be counted more than once in the above figures.  </w:t>
      </w:r>
    </w:p>
    <w:p w14:paraId="45972A83" w14:textId="77777777" w:rsidR="003A3AAB" w:rsidRPr="003A3AAB" w:rsidRDefault="003A3AAB" w:rsidP="003A3AAB">
      <w:pPr>
        <w:pStyle w:val="NoSpacing"/>
        <w:rPr>
          <w:rFonts w:ascii="Calibri" w:hAnsi="Calibri" w:cs="Calibri"/>
          <w:sz w:val="22"/>
          <w:szCs w:val="22"/>
        </w:rPr>
      </w:pPr>
    </w:p>
    <w:p w14:paraId="5346C30C" w14:textId="77777777" w:rsidR="003A3AAB" w:rsidRPr="003A3AAB" w:rsidRDefault="003A3AAB" w:rsidP="003A3AAB">
      <w:pPr>
        <w:pStyle w:val="NoSpacing"/>
        <w:rPr>
          <w:rFonts w:ascii="Calibri" w:hAnsi="Calibri" w:cs="Calibri"/>
          <w:b/>
          <w:bCs/>
          <w:sz w:val="22"/>
          <w:szCs w:val="22"/>
        </w:rPr>
      </w:pPr>
      <w:r w:rsidRPr="003A3AAB">
        <w:rPr>
          <w:rFonts w:ascii="Calibri" w:hAnsi="Calibri" w:cs="Calibri"/>
          <w:b/>
          <w:bCs/>
          <w:sz w:val="22"/>
          <w:szCs w:val="22"/>
        </w:rPr>
        <w:t>6. How much money was retrieved by the bailiffs?</w:t>
      </w:r>
    </w:p>
    <w:tbl>
      <w:tblPr>
        <w:tblW w:w="2261" w:type="dxa"/>
        <w:jc w:val="center"/>
        <w:tblCellMar>
          <w:left w:w="0" w:type="dxa"/>
          <w:right w:w="0" w:type="dxa"/>
        </w:tblCellMar>
        <w:tblLook w:val="04A0" w:firstRow="1" w:lastRow="0" w:firstColumn="1" w:lastColumn="0" w:noHBand="0" w:noVBand="1"/>
      </w:tblPr>
      <w:tblGrid>
        <w:gridCol w:w="1023"/>
        <w:gridCol w:w="1330"/>
      </w:tblGrid>
      <w:tr w:rsidR="003A3AAB" w:rsidRPr="003A3AAB" w14:paraId="74310EB7" w14:textId="77777777" w:rsidTr="003A3AAB">
        <w:trPr>
          <w:trHeight w:val="312"/>
          <w:jc w:val="center"/>
        </w:trPr>
        <w:tc>
          <w:tcPr>
            <w:tcW w:w="102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A3A0DD"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2021/22</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5EF6DB"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£658,717.11</w:t>
            </w:r>
          </w:p>
        </w:tc>
      </w:tr>
      <w:tr w:rsidR="003A3AAB" w:rsidRPr="003A3AAB" w14:paraId="5BB938DC"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0E768C"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2022/23</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E69A45"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£652,523.42</w:t>
            </w:r>
          </w:p>
        </w:tc>
      </w:tr>
      <w:tr w:rsidR="003A3AAB" w:rsidRPr="003A3AAB" w14:paraId="2F9FF5B1"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C72A0F"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2023/24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A56EFE"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£723,802.25</w:t>
            </w:r>
          </w:p>
        </w:tc>
      </w:tr>
      <w:tr w:rsidR="003A3AAB" w:rsidRPr="003A3AAB" w14:paraId="75247E8F"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A164F7"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2024/25</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B0D28"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£486,731.87</w:t>
            </w:r>
          </w:p>
        </w:tc>
      </w:tr>
    </w:tbl>
    <w:p w14:paraId="00B500FD"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lastRenderedPageBreak/>
        <w:t>The above amounts are the amount of Council Tax collected by Enforcement Agents to date, for the debts referred to Enforcement Agents in the financial years listed.</w:t>
      </w:r>
    </w:p>
    <w:p w14:paraId="5CB58CEF" w14:textId="77777777" w:rsidR="003A3AAB" w:rsidRPr="003A3AAB" w:rsidRDefault="003A3AAB" w:rsidP="003A3AAB">
      <w:pPr>
        <w:pStyle w:val="NoSpacing"/>
        <w:rPr>
          <w:rFonts w:ascii="Calibri" w:hAnsi="Calibri" w:cs="Calibri"/>
          <w:sz w:val="22"/>
          <w:szCs w:val="22"/>
        </w:rPr>
      </w:pPr>
    </w:p>
    <w:p w14:paraId="3BEC840B" w14:textId="77777777" w:rsidR="003A3AAB" w:rsidRPr="003A3AAB" w:rsidRDefault="003A3AAB" w:rsidP="003A3AAB">
      <w:pPr>
        <w:pStyle w:val="NoSpacing"/>
        <w:rPr>
          <w:rFonts w:ascii="Calibri" w:hAnsi="Calibri" w:cs="Calibri"/>
          <w:b/>
          <w:bCs/>
          <w:sz w:val="22"/>
          <w:szCs w:val="22"/>
        </w:rPr>
      </w:pPr>
      <w:r w:rsidRPr="003A3AAB">
        <w:rPr>
          <w:rFonts w:ascii="Calibri" w:hAnsi="Calibri" w:cs="Calibri"/>
          <w:b/>
          <w:bCs/>
          <w:sz w:val="22"/>
          <w:szCs w:val="22"/>
        </w:rPr>
        <w:t>7. How much debt was written off by the council in that financial year?</w:t>
      </w:r>
    </w:p>
    <w:tbl>
      <w:tblPr>
        <w:tblW w:w="2261" w:type="dxa"/>
        <w:jc w:val="center"/>
        <w:tblCellMar>
          <w:left w:w="0" w:type="dxa"/>
          <w:right w:w="0" w:type="dxa"/>
        </w:tblCellMar>
        <w:tblLook w:val="04A0" w:firstRow="1" w:lastRow="0" w:firstColumn="1" w:lastColumn="0" w:noHBand="0" w:noVBand="1"/>
      </w:tblPr>
      <w:tblGrid>
        <w:gridCol w:w="1023"/>
        <w:gridCol w:w="1238"/>
      </w:tblGrid>
      <w:tr w:rsidR="003A3AAB" w:rsidRPr="003A3AAB" w14:paraId="2FE4732E" w14:textId="77777777" w:rsidTr="003A3AAB">
        <w:trPr>
          <w:trHeight w:val="312"/>
          <w:jc w:val="center"/>
        </w:trPr>
        <w:tc>
          <w:tcPr>
            <w:tcW w:w="102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E9B954"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2021/22</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779D90"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£559,000</w:t>
            </w:r>
          </w:p>
        </w:tc>
      </w:tr>
      <w:tr w:rsidR="003A3AAB" w:rsidRPr="003A3AAB" w14:paraId="1D126C9E"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238BB1"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2022/23</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B2F94A"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£414,000</w:t>
            </w:r>
          </w:p>
        </w:tc>
      </w:tr>
      <w:tr w:rsidR="003A3AAB" w:rsidRPr="003A3AAB" w14:paraId="682FFCC2"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DDB00E"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2023/24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B7EDF0"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£364,000</w:t>
            </w:r>
          </w:p>
        </w:tc>
      </w:tr>
      <w:tr w:rsidR="003A3AAB" w:rsidRPr="003A3AAB" w14:paraId="3E3D986E" w14:textId="77777777" w:rsidTr="003A3AAB">
        <w:trPr>
          <w:trHeight w:val="312"/>
          <w:jc w:val="center"/>
        </w:trPr>
        <w:tc>
          <w:tcPr>
            <w:tcW w:w="10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007FE3"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2024/25</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36E008"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£259,000</w:t>
            </w:r>
          </w:p>
        </w:tc>
      </w:tr>
    </w:tbl>
    <w:p w14:paraId="0D39D7D7" w14:textId="3983EAF0"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 xml:space="preserve">All amounts written off in the financial year stated. Write off amounts relate to current and previous financial years. (QRC4 figures). </w:t>
      </w:r>
    </w:p>
    <w:p w14:paraId="7B925DF4" w14:textId="77777777" w:rsidR="003A3AAB" w:rsidRPr="003A3AAB" w:rsidRDefault="003A3AAB" w:rsidP="003A3AAB">
      <w:pPr>
        <w:pStyle w:val="NoSpacing"/>
        <w:rPr>
          <w:rFonts w:ascii="Calibri" w:hAnsi="Calibri" w:cs="Calibri"/>
          <w:sz w:val="22"/>
          <w:szCs w:val="22"/>
        </w:rPr>
      </w:pPr>
    </w:p>
    <w:p w14:paraId="392B502E" w14:textId="77777777" w:rsidR="003A3AAB" w:rsidRPr="003A3AAB" w:rsidRDefault="003A3AAB" w:rsidP="003A3AAB">
      <w:pPr>
        <w:pStyle w:val="NoSpacing"/>
        <w:rPr>
          <w:rFonts w:ascii="Calibri" w:hAnsi="Calibri" w:cs="Calibri"/>
          <w:b/>
          <w:bCs/>
          <w:sz w:val="22"/>
          <w:szCs w:val="22"/>
        </w:rPr>
      </w:pPr>
      <w:r w:rsidRPr="003A3AAB">
        <w:rPr>
          <w:rFonts w:ascii="Calibri" w:hAnsi="Calibri" w:cs="Calibri"/>
          <w:b/>
          <w:bCs/>
          <w:sz w:val="22"/>
          <w:szCs w:val="22"/>
        </w:rPr>
        <w:t xml:space="preserve">8. Do you </w:t>
      </w:r>
      <w:proofErr w:type="gramStart"/>
      <w:r w:rsidRPr="003A3AAB">
        <w:rPr>
          <w:rFonts w:ascii="Calibri" w:hAnsi="Calibri" w:cs="Calibri"/>
          <w:b/>
          <w:bCs/>
          <w:sz w:val="22"/>
          <w:szCs w:val="22"/>
        </w:rPr>
        <w:t>currently  have</w:t>
      </w:r>
      <w:proofErr w:type="gramEnd"/>
      <w:r w:rsidRPr="003A3AAB">
        <w:rPr>
          <w:rFonts w:ascii="Calibri" w:hAnsi="Calibri" w:cs="Calibri"/>
          <w:b/>
          <w:bCs/>
          <w:sz w:val="22"/>
          <w:szCs w:val="22"/>
        </w:rPr>
        <w:t xml:space="preserve"> a formal policy in place for dealing with residents in vulnerable circumstances as part of your collections process for Council Tax arrears? </w:t>
      </w:r>
    </w:p>
    <w:p w14:paraId="4DAFB5F9"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We don’t have a pre-summons formal policy in place; however, we do offer a Section 13A Discretionary Relief application for hardship or exceptional circumstances affecting the rate payer’s ability to pay.</w:t>
      </w:r>
    </w:p>
    <w:p w14:paraId="68E4F350" w14:textId="77777777" w:rsidR="003A3AAB" w:rsidRPr="003A3AAB" w:rsidRDefault="003A3AAB" w:rsidP="003A3AAB">
      <w:pPr>
        <w:pStyle w:val="NoSpacing"/>
        <w:rPr>
          <w:rFonts w:ascii="Calibri" w:hAnsi="Calibri" w:cs="Calibri"/>
          <w:sz w:val="22"/>
          <w:szCs w:val="22"/>
        </w:rPr>
      </w:pPr>
    </w:p>
    <w:p w14:paraId="32572672" w14:textId="77777777" w:rsidR="003A3AAB" w:rsidRPr="003A3AAB" w:rsidRDefault="003A3AAB" w:rsidP="003A3AAB">
      <w:pPr>
        <w:pStyle w:val="NoSpacing"/>
        <w:rPr>
          <w:rFonts w:ascii="Calibri" w:hAnsi="Calibri" w:cs="Calibri"/>
          <w:b/>
          <w:bCs/>
          <w:sz w:val="22"/>
          <w:szCs w:val="22"/>
        </w:rPr>
      </w:pPr>
      <w:r w:rsidRPr="003A3AAB">
        <w:rPr>
          <w:rFonts w:ascii="Calibri" w:hAnsi="Calibri" w:cs="Calibri"/>
          <w:b/>
          <w:bCs/>
          <w:sz w:val="22"/>
          <w:szCs w:val="22"/>
        </w:rPr>
        <w:t>9. Do you currently have a policy of exempting recipients of Council Tax Support / Reduction from the use of bailiff action?</w:t>
      </w:r>
    </w:p>
    <w:p w14:paraId="43386614" w14:textId="77777777" w:rsidR="003A3AAB" w:rsidRPr="003A3AAB" w:rsidRDefault="003A3AAB" w:rsidP="003A3AAB">
      <w:pPr>
        <w:pStyle w:val="NoSpacing"/>
        <w:rPr>
          <w:rFonts w:ascii="Calibri" w:hAnsi="Calibri" w:cs="Calibri"/>
          <w:sz w:val="22"/>
          <w:szCs w:val="22"/>
        </w:rPr>
      </w:pPr>
      <w:r w:rsidRPr="003A3AAB">
        <w:rPr>
          <w:rFonts w:ascii="Calibri" w:hAnsi="Calibri" w:cs="Calibri"/>
          <w:sz w:val="22"/>
          <w:szCs w:val="22"/>
        </w:rPr>
        <w:t xml:space="preserve">No, Council Tax Reduction cases are referred to Enforcement Agents. However, we have processes in place to proactively contact residents who are in receipt of Council Tax Reduction and who have Council Tax arrears, to provide support and work with the residents in seeking to prevent enforcement action. </w:t>
      </w:r>
    </w:p>
    <w:p w14:paraId="11C92D64" w14:textId="77777777" w:rsidR="00FD6C08" w:rsidRPr="003A3AAB" w:rsidRDefault="00FD6C08" w:rsidP="003A3AAB">
      <w:pPr>
        <w:pStyle w:val="NoSpacing"/>
        <w:rPr>
          <w:rFonts w:ascii="Calibri" w:hAnsi="Calibri" w:cs="Calibri"/>
          <w:sz w:val="22"/>
          <w:szCs w:val="22"/>
        </w:rPr>
      </w:pPr>
    </w:p>
    <w:sectPr w:rsidR="00FD6C08" w:rsidRPr="003A3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AB"/>
    <w:rsid w:val="003A3AAB"/>
    <w:rsid w:val="00707C4E"/>
    <w:rsid w:val="00B243D2"/>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E63E"/>
  <w15:chartTrackingRefBased/>
  <w15:docId w15:val="{F86E35B2-88FC-4EFC-BBBF-5A7B71CD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AAB"/>
    <w:rPr>
      <w:rFonts w:eastAsiaTheme="majorEastAsia" w:cstheme="majorBidi"/>
      <w:color w:val="272727" w:themeColor="text1" w:themeTint="D8"/>
    </w:rPr>
  </w:style>
  <w:style w:type="paragraph" w:styleId="Title">
    <w:name w:val="Title"/>
    <w:basedOn w:val="Normal"/>
    <w:next w:val="Normal"/>
    <w:link w:val="TitleChar"/>
    <w:uiPriority w:val="10"/>
    <w:qFormat/>
    <w:rsid w:val="003A3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AAB"/>
    <w:pPr>
      <w:spacing w:before="160"/>
      <w:jc w:val="center"/>
    </w:pPr>
    <w:rPr>
      <w:i/>
      <w:iCs/>
      <w:color w:val="404040" w:themeColor="text1" w:themeTint="BF"/>
    </w:rPr>
  </w:style>
  <w:style w:type="character" w:customStyle="1" w:styleId="QuoteChar">
    <w:name w:val="Quote Char"/>
    <w:basedOn w:val="DefaultParagraphFont"/>
    <w:link w:val="Quote"/>
    <w:uiPriority w:val="29"/>
    <w:rsid w:val="003A3AAB"/>
    <w:rPr>
      <w:i/>
      <w:iCs/>
      <w:color w:val="404040" w:themeColor="text1" w:themeTint="BF"/>
    </w:rPr>
  </w:style>
  <w:style w:type="paragraph" w:styleId="ListParagraph">
    <w:name w:val="List Paragraph"/>
    <w:basedOn w:val="Normal"/>
    <w:uiPriority w:val="34"/>
    <w:qFormat/>
    <w:rsid w:val="003A3AAB"/>
    <w:pPr>
      <w:ind w:left="720"/>
      <w:contextualSpacing/>
    </w:pPr>
  </w:style>
  <w:style w:type="character" w:styleId="IntenseEmphasis">
    <w:name w:val="Intense Emphasis"/>
    <w:basedOn w:val="DefaultParagraphFont"/>
    <w:uiPriority w:val="21"/>
    <w:qFormat/>
    <w:rsid w:val="003A3AAB"/>
    <w:rPr>
      <w:i/>
      <w:iCs/>
      <w:color w:val="0F4761" w:themeColor="accent1" w:themeShade="BF"/>
    </w:rPr>
  </w:style>
  <w:style w:type="paragraph" w:styleId="IntenseQuote">
    <w:name w:val="Intense Quote"/>
    <w:basedOn w:val="Normal"/>
    <w:next w:val="Normal"/>
    <w:link w:val="IntenseQuoteChar"/>
    <w:uiPriority w:val="30"/>
    <w:qFormat/>
    <w:rsid w:val="003A3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AAB"/>
    <w:rPr>
      <w:i/>
      <w:iCs/>
      <w:color w:val="0F4761" w:themeColor="accent1" w:themeShade="BF"/>
    </w:rPr>
  </w:style>
  <w:style w:type="character" w:styleId="IntenseReference">
    <w:name w:val="Intense Reference"/>
    <w:basedOn w:val="DefaultParagraphFont"/>
    <w:uiPriority w:val="32"/>
    <w:qFormat/>
    <w:rsid w:val="003A3AAB"/>
    <w:rPr>
      <w:b/>
      <w:bCs/>
      <w:smallCaps/>
      <w:color w:val="0F4761" w:themeColor="accent1" w:themeShade="BF"/>
      <w:spacing w:val="5"/>
    </w:rPr>
  </w:style>
  <w:style w:type="paragraph" w:styleId="NoSpacing">
    <w:name w:val="No Spacing"/>
    <w:uiPriority w:val="1"/>
    <w:qFormat/>
    <w:rsid w:val="003A3A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5562">
      <w:bodyDiv w:val="1"/>
      <w:marLeft w:val="0"/>
      <w:marRight w:val="0"/>
      <w:marTop w:val="0"/>
      <w:marBottom w:val="0"/>
      <w:divBdr>
        <w:top w:val="none" w:sz="0" w:space="0" w:color="auto"/>
        <w:left w:val="none" w:sz="0" w:space="0" w:color="auto"/>
        <w:bottom w:val="none" w:sz="0" w:space="0" w:color="auto"/>
        <w:right w:val="none" w:sz="0" w:space="0" w:color="auto"/>
      </w:divBdr>
    </w:div>
    <w:div w:id="139931093">
      <w:bodyDiv w:val="1"/>
      <w:marLeft w:val="0"/>
      <w:marRight w:val="0"/>
      <w:marTop w:val="0"/>
      <w:marBottom w:val="0"/>
      <w:divBdr>
        <w:top w:val="none" w:sz="0" w:space="0" w:color="auto"/>
        <w:left w:val="none" w:sz="0" w:space="0" w:color="auto"/>
        <w:bottom w:val="none" w:sz="0" w:space="0" w:color="auto"/>
        <w:right w:val="none" w:sz="0" w:space="0" w:color="auto"/>
      </w:divBdr>
    </w:div>
    <w:div w:id="306470571">
      <w:bodyDiv w:val="1"/>
      <w:marLeft w:val="0"/>
      <w:marRight w:val="0"/>
      <w:marTop w:val="0"/>
      <w:marBottom w:val="0"/>
      <w:divBdr>
        <w:top w:val="none" w:sz="0" w:space="0" w:color="auto"/>
        <w:left w:val="none" w:sz="0" w:space="0" w:color="auto"/>
        <w:bottom w:val="none" w:sz="0" w:space="0" w:color="auto"/>
        <w:right w:val="none" w:sz="0" w:space="0" w:color="auto"/>
      </w:divBdr>
    </w:div>
    <w:div w:id="309486756">
      <w:bodyDiv w:val="1"/>
      <w:marLeft w:val="0"/>
      <w:marRight w:val="0"/>
      <w:marTop w:val="0"/>
      <w:marBottom w:val="0"/>
      <w:divBdr>
        <w:top w:val="none" w:sz="0" w:space="0" w:color="auto"/>
        <w:left w:val="none" w:sz="0" w:space="0" w:color="auto"/>
        <w:bottom w:val="none" w:sz="0" w:space="0" w:color="auto"/>
        <w:right w:val="none" w:sz="0" w:space="0" w:color="auto"/>
      </w:divBdr>
    </w:div>
    <w:div w:id="370152396">
      <w:bodyDiv w:val="1"/>
      <w:marLeft w:val="0"/>
      <w:marRight w:val="0"/>
      <w:marTop w:val="0"/>
      <w:marBottom w:val="0"/>
      <w:divBdr>
        <w:top w:val="none" w:sz="0" w:space="0" w:color="auto"/>
        <w:left w:val="none" w:sz="0" w:space="0" w:color="auto"/>
        <w:bottom w:val="none" w:sz="0" w:space="0" w:color="auto"/>
        <w:right w:val="none" w:sz="0" w:space="0" w:color="auto"/>
      </w:divBdr>
    </w:div>
    <w:div w:id="486477030">
      <w:bodyDiv w:val="1"/>
      <w:marLeft w:val="0"/>
      <w:marRight w:val="0"/>
      <w:marTop w:val="0"/>
      <w:marBottom w:val="0"/>
      <w:divBdr>
        <w:top w:val="none" w:sz="0" w:space="0" w:color="auto"/>
        <w:left w:val="none" w:sz="0" w:space="0" w:color="auto"/>
        <w:bottom w:val="none" w:sz="0" w:space="0" w:color="auto"/>
        <w:right w:val="none" w:sz="0" w:space="0" w:color="auto"/>
      </w:divBdr>
    </w:div>
    <w:div w:id="676888369">
      <w:bodyDiv w:val="1"/>
      <w:marLeft w:val="0"/>
      <w:marRight w:val="0"/>
      <w:marTop w:val="0"/>
      <w:marBottom w:val="0"/>
      <w:divBdr>
        <w:top w:val="none" w:sz="0" w:space="0" w:color="auto"/>
        <w:left w:val="none" w:sz="0" w:space="0" w:color="auto"/>
        <w:bottom w:val="none" w:sz="0" w:space="0" w:color="auto"/>
        <w:right w:val="none" w:sz="0" w:space="0" w:color="auto"/>
      </w:divBdr>
    </w:div>
    <w:div w:id="743795045">
      <w:bodyDiv w:val="1"/>
      <w:marLeft w:val="0"/>
      <w:marRight w:val="0"/>
      <w:marTop w:val="0"/>
      <w:marBottom w:val="0"/>
      <w:divBdr>
        <w:top w:val="none" w:sz="0" w:space="0" w:color="auto"/>
        <w:left w:val="none" w:sz="0" w:space="0" w:color="auto"/>
        <w:bottom w:val="none" w:sz="0" w:space="0" w:color="auto"/>
        <w:right w:val="none" w:sz="0" w:space="0" w:color="auto"/>
      </w:divBdr>
    </w:div>
    <w:div w:id="836575504">
      <w:bodyDiv w:val="1"/>
      <w:marLeft w:val="0"/>
      <w:marRight w:val="0"/>
      <w:marTop w:val="0"/>
      <w:marBottom w:val="0"/>
      <w:divBdr>
        <w:top w:val="none" w:sz="0" w:space="0" w:color="auto"/>
        <w:left w:val="none" w:sz="0" w:space="0" w:color="auto"/>
        <w:bottom w:val="none" w:sz="0" w:space="0" w:color="auto"/>
        <w:right w:val="none" w:sz="0" w:space="0" w:color="auto"/>
      </w:divBdr>
    </w:div>
    <w:div w:id="852262731">
      <w:bodyDiv w:val="1"/>
      <w:marLeft w:val="0"/>
      <w:marRight w:val="0"/>
      <w:marTop w:val="0"/>
      <w:marBottom w:val="0"/>
      <w:divBdr>
        <w:top w:val="none" w:sz="0" w:space="0" w:color="auto"/>
        <w:left w:val="none" w:sz="0" w:space="0" w:color="auto"/>
        <w:bottom w:val="none" w:sz="0" w:space="0" w:color="auto"/>
        <w:right w:val="none" w:sz="0" w:space="0" w:color="auto"/>
      </w:divBdr>
    </w:div>
    <w:div w:id="1197349752">
      <w:bodyDiv w:val="1"/>
      <w:marLeft w:val="0"/>
      <w:marRight w:val="0"/>
      <w:marTop w:val="0"/>
      <w:marBottom w:val="0"/>
      <w:divBdr>
        <w:top w:val="none" w:sz="0" w:space="0" w:color="auto"/>
        <w:left w:val="none" w:sz="0" w:space="0" w:color="auto"/>
        <w:bottom w:val="none" w:sz="0" w:space="0" w:color="auto"/>
        <w:right w:val="none" w:sz="0" w:space="0" w:color="auto"/>
      </w:divBdr>
    </w:div>
    <w:div w:id="1426539802">
      <w:bodyDiv w:val="1"/>
      <w:marLeft w:val="0"/>
      <w:marRight w:val="0"/>
      <w:marTop w:val="0"/>
      <w:marBottom w:val="0"/>
      <w:divBdr>
        <w:top w:val="none" w:sz="0" w:space="0" w:color="auto"/>
        <w:left w:val="none" w:sz="0" w:space="0" w:color="auto"/>
        <w:bottom w:val="none" w:sz="0" w:space="0" w:color="auto"/>
        <w:right w:val="none" w:sz="0" w:space="0" w:color="auto"/>
      </w:divBdr>
    </w:div>
    <w:div w:id="1445423099">
      <w:bodyDiv w:val="1"/>
      <w:marLeft w:val="0"/>
      <w:marRight w:val="0"/>
      <w:marTop w:val="0"/>
      <w:marBottom w:val="0"/>
      <w:divBdr>
        <w:top w:val="none" w:sz="0" w:space="0" w:color="auto"/>
        <w:left w:val="none" w:sz="0" w:space="0" w:color="auto"/>
        <w:bottom w:val="none" w:sz="0" w:space="0" w:color="auto"/>
        <w:right w:val="none" w:sz="0" w:space="0" w:color="auto"/>
      </w:divBdr>
    </w:div>
    <w:div w:id="1902475716">
      <w:bodyDiv w:val="1"/>
      <w:marLeft w:val="0"/>
      <w:marRight w:val="0"/>
      <w:marTop w:val="0"/>
      <w:marBottom w:val="0"/>
      <w:divBdr>
        <w:top w:val="none" w:sz="0" w:space="0" w:color="auto"/>
        <w:left w:val="none" w:sz="0" w:space="0" w:color="auto"/>
        <w:bottom w:val="none" w:sz="0" w:space="0" w:color="auto"/>
        <w:right w:val="none" w:sz="0" w:space="0" w:color="auto"/>
      </w:divBdr>
    </w:div>
    <w:div w:id="1969041771">
      <w:bodyDiv w:val="1"/>
      <w:marLeft w:val="0"/>
      <w:marRight w:val="0"/>
      <w:marTop w:val="0"/>
      <w:marBottom w:val="0"/>
      <w:divBdr>
        <w:top w:val="none" w:sz="0" w:space="0" w:color="auto"/>
        <w:left w:val="none" w:sz="0" w:space="0" w:color="auto"/>
        <w:bottom w:val="none" w:sz="0" w:space="0" w:color="auto"/>
        <w:right w:val="none" w:sz="0" w:space="0" w:color="auto"/>
      </w:divBdr>
    </w:div>
    <w:div w:id="19857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2025-05-08T12:49:00Z</dcterms:created>
  <dcterms:modified xsi:type="dcterms:W3CDTF">2025-05-08T12:54:00Z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2025-05-08T12:50:57Z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b5cd57d9-8b2a-413b-9d90-71eef66be4cc</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