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C059" w14:textId="6DEB7DA8" w:rsidR="00EC7806" w:rsidRPr="00585705" w:rsidRDefault="00585705" w:rsidP="00585705">
      <w:pPr>
        <w:spacing w:after="0" w:line="240" w:lineRule="auto"/>
        <w:jc w:val="center"/>
        <w:rPr>
          <w:rFonts w:ascii="Calibri" w:eastAsia="Aptos" w:hAnsi="Calibri" w:cs="Calibri"/>
          <w:kern w:val="0"/>
          <w:sz w:val="22"/>
          <w:szCs w:val="22"/>
          <w:u w:val="single"/>
          <w:lang w:eastAsia="en-GB"/>
          <w14:ligatures w14:val="none"/>
        </w:rPr>
      </w:pPr>
      <w:r w:rsidRPr="00585705">
        <w:rPr>
          <w:rFonts w:ascii="Calibri" w:eastAsia="Aptos" w:hAnsi="Calibri" w:cs="Calibri"/>
          <w:b/>
          <w:bCs/>
          <w:color w:val="000000"/>
          <w:kern w:val="0"/>
          <w:sz w:val="22"/>
          <w:szCs w:val="22"/>
          <w:u w:val="single"/>
          <w14:ligatures w14:val="none"/>
        </w:rPr>
        <w:t>WBCIR:19787</w:t>
      </w:r>
    </w:p>
    <w:p w14:paraId="22FCD007"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color w:val="000000"/>
          <w:kern w:val="0"/>
          <w:sz w:val="22"/>
          <w:szCs w:val="22"/>
          <w14:ligatures w14:val="none"/>
        </w:rPr>
        <w:t> </w:t>
      </w:r>
    </w:p>
    <w:p w14:paraId="57C57123"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color w:val="000000"/>
          <w:kern w:val="0"/>
          <w:sz w:val="22"/>
          <w:szCs w:val="22"/>
          <w14:ligatures w14:val="none"/>
        </w:rPr>
        <w:t>1. How much per annum of health and social care budgets are allocated to SEN adults and SEN children in the form of personal healthcare budgets made in direct payments for years 2018-2025</w:t>
      </w:r>
    </w:p>
    <w:p w14:paraId="4C922853" w14:textId="5EEB3457" w:rsidR="00EC7806" w:rsidRPr="00585705" w:rsidRDefault="00585705" w:rsidP="00EC7806">
      <w:pPr>
        <w:spacing w:after="0" w:line="240" w:lineRule="auto"/>
        <w:rPr>
          <w:rFonts w:ascii="Calibri" w:eastAsia="Aptos" w:hAnsi="Calibri" w:cs="Calibri"/>
          <w:kern w:val="0"/>
          <w:sz w:val="22"/>
          <w:szCs w:val="22"/>
          <w14:ligatures w14:val="none"/>
        </w:rPr>
      </w:pPr>
      <w:r w:rsidRPr="00585705">
        <w:rPr>
          <w:rFonts w:ascii="Calibri" w:eastAsia="Aptos" w:hAnsi="Calibri" w:cs="Calibri"/>
          <w:kern w:val="0"/>
          <w:sz w:val="22"/>
          <w:szCs w:val="22"/>
          <w14:ligatures w14:val="none"/>
        </w:rPr>
        <w:t xml:space="preserve">Childrens Services have advised </w:t>
      </w:r>
      <w:r w:rsidR="00EC7806" w:rsidRPr="00585705">
        <w:rPr>
          <w:rFonts w:ascii="Calibri" w:eastAsia="Aptos" w:hAnsi="Calibri" w:cs="Calibri"/>
          <w:kern w:val="0"/>
          <w:sz w:val="22"/>
          <w:szCs w:val="22"/>
          <w14:ligatures w14:val="none"/>
        </w:rPr>
        <w:t xml:space="preserve">0 </w:t>
      </w:r>
    </w:p>
    <w:p w14:paraId="4324B3A3" w14:textId="16C39200" w:rsidR="00585705" w:rsidRPr="00585705" w:rsidRDefault="00585705" w:rsidP="00EC7806">
      <w:pPr>
        <w:spacing w:after="0" w:line="240" w:lineRule="auto"/>
        <w:rPr>
          <w:rFonts w:ascii="Calibri" w:eastAsia="Aptos" w:hAnsi="Calibri" w:cs="Calibri"/>
          <w:kern w:val="0"/>
          <w:sz w:val="22"/>
          <w:szCs w:val="22"/>
          <w14:ligatures w14:val="none"/>
        </w:rPr>
      </w:pPr>
      <w:r w:rsidRPr="00585705">
        <w:rPr>
          <w:rFonts w:ascii="Calibri" w:eastAsia="Aptos" w:hAnsi="Calibri" w:cs="Calibri"/>
          <w:kern w:val="0"/>
          <w:sz w:val="22"/>
          <w:szCs w:val="22"/>
          <w14:ligatures w14:val="none"/>
        </w:rPr>
        <w:t>ASC have provided the following response:</w:t>
      </w:r>
    </w:p>
    <w:p w14:paraId="018EC408" w14:textId="5D031489" w:rsidR="00585705" w:rsidRPr="00585705" w:rsidRDefault="00585705" w:rsidP="00EC7806">
      <w:pPr>
        <w:spacing w:after="0" w:line="240" w:lineRule="auto"/>
        <w:rPr>
          <w:rFonts w:ascii="Calibri" w:eastAsia="Aptos" w:hAnsi="Calibri" w:cs="Calibri"/>
          <w:b/>
          <w:bCs/>
          <w:kern w:val="0"/>
          <w:sz w:val="22"/>
          <w:szCs w:val="22"/>
          <w14:ligatures w14:val="none"/>
        </w:rPr>
      </w:pPr>
      <w:r w:rsidRPr="00585705">
        <w:rPr>
          <w:rFonts w:ascii="Calibri" w:hAnsi="Calibri" w:cs="Calibri"/>
          <w:sz w:val="22"/>
          <w:szCs w:val="22"/>
        </w:rPr>
        <w:t>2018: 2,472,000</w:t>
      </w:r>
      <w:r w:rsidRPr="00585705">
        <w:rPr>
          <w:rFonts w:ascii="Calibri" w:hAnsi="Calibri" w:cs="Calibri"/>
          <w:sz w:val="22"/>
          <w:szCs w:val="22"/>
        </w:rPr>
        <w:br/>
        <w:t>2019: 2,722,000</w:t>
      </w:r>
      <w:r w:rsidRPr="00585705">
        <w:rPr>
          <w:rFonts w:ascii="Calibri" w:hAnsi="Calibri" w:cs="Calibri"/>
          <w:sz w:val="22"/>
          <w:szCs w:val="22"/>
        </w:rPr>
        <w:br/>
        <w:t>2020: 2,725,000</w:t>
      </w:r>
      <w:r w:rsidRPr="00585705">
        <w:rPr>
          <w:rFonts w:ascii="Calibri" w:hAnsi="Calibri" w:cs="Calibri"/>
          <w:sz w:val="22"/>
          <w:szCs w:val="22"/>
        </w:rPr>
        <w:br/>
        <w:t>2021: 2,775,900</w:t>
      </w:r>
      <w:r w:rsidRPr="00585705">
        <w:rPr>
          <w:rFonts w:ascii="Calibri" w:hAnsi="Calibri" w:cs="Calibri"/>
          <w:sz w:val="22"/>
          <w:szCs w:val="22"/>
        </w:rPr>
        <w:br/>
        <w:t>2022: 2,772,900</w:t>
      </w:r>
      <w:r w:rsidRPr="00585705">
        <w:rPr>
          <w:rFonts w:ascii="Calibri" w:hAnsi="Calibri" w:cs="Calibri"/>
          <w:sz w:val="22"/>
          <w:szCs w:val="22"/>
        </w:rPr>
        <w:br/>
        <w:t>2023: 2,888,900</w:t>
      </w:r>
      <w:r w:rsidRPr="00585705">
        <w:rPr>
          <w:rFonts w:ascii="Calibri" w:hAnsi="Calibri" w:cs="Calibri"/>
          <w:sz w:val="22"/>
          <w:szCs w:val="22"/>
        </w:rPr>
        <w:br/>
        <w:t>2024: 2,858,700</w:t>
      </w:r>
      <w:r w:rsidRPr="00585705">
        <w:rPr>
          <w:rFonts w:ascii="Calibri" w:hAnsi="Calibri" w:cs="Calibri"/>
          <w:sz w:val="22"/>
          <w:szCs w:val="22"/>
        </w:rPr>
        <w:br/>
        <w:t>2025: 2,948,600</w:t>
      </w:r>
    </w:p>
    <w:p w14:paraId="0D85BC58" w14:textId="77777777" w:rsidR="00585705" w:rsidRPr="00585705" w:rsidRDefault="00585705" w:rsidP="00EC7806">
      <w:pPr>
        <w:spacing w:after="0" w:line="240" w:lineRule="auto"/>
        <w:rPr>
          <w:rFonts w:ascii="Calibri" w:eastAsia="Aptos" w:hAnsi="Calibri" w:cs="Calibri"/>
          <w:kern w:val="0"/>
          <w:sz w:val="22"/>
          <w:szCs w:val="22"/>
          <w:lang w:eastAsia="en-GB"/>
          <w14:ligatures w14:val="none"/>
        </w:rPr>
      </w:pPr>
    </w:p>
    <w:p w14:paraId="156D2D53" w14:textId="7AAAE633" w:rsidR="00EC7806" w:rsidRPr="00585705" w:rsidRDefault="00EC7806" w:rsidP="00EC7806">
      <w:pPr>
        <w:spacing w:after="0" w:line="240" w:lineRule="auto"/>
        <w:rPr>
          <w:rFonts w:ascii="Calibri" w:eastAsia="Aptos" w:hAnsi="Calibri" w:cs="Calibri"/>
          <w:b/>
          <w:bCs/>
          <w:color w:val="000000"/>
          <w:kern w:val="0"/>
          <w:sz w:val="22"/>
          <w:szCs w:val="22"/>
          <w14:ligatures w14:val="none"/>
        </w:rPr>
      </w:pPr>
      <w:r w:rsidRPr="00585705">
        <w:rPr>
          <w:rFonts w:ascii="Calibri" w:eastAsia="Aptos" w:hAnsi="Calibri" w:cs="Calibri"/>
          <w:b/>
          <w:bCs/>
          <w:color w:val="000000"/>
          <w:kern w:val="0"/>
          <w:sz w:val="22"/>
          <w:szCs w:val="22"/>
          <w14:ligatures w14:val="none"/>
        </w:rPr>
        <w:t>2. How much per annum is spent fiscally on private contractual agreements in outsourcing care to Active Care Group, St Andrews Healthcare, Elysium Healthcare, and Cygnet. Years 2018-2025.</w:t>
      </w:r>
    </w:p>
    <w:p w14:paraId="6AFDE352" w14:textId="1827F0A9" w:rsidR="00585705" w:rsidRPr="00585705" w:rsidRDefault="00585705" w:rsidP="00EC7806">
      <w:pPr>
        <w:spacing w:after="0" w:line="240" w:lineRule="auto"/>
        <w:rPr>
          <w:rFonts w:ascii="Calibri" w:eastAsia="Aptos" w:hAnsi="Calibri" w:cs="Calibri"/>
          <w:kern w:val="0"/>
          <w:sz w:val="22"/>
          <w:szCs w:val="22"/>
          <w:lang w:eastAsia="en-GB"/>
          <w14:ligatures w14:val="none"/>
        </w:rPr>
      </w:pPr>
      <w:r w:rsidRPr="00585705">
        <w:rPr>
          <w:rFonts w:ascii="Calibri" w:hAnsi="Calibri" w:cs="Calibri"/>
          <w:sz w:val="22"/>
          <w:szCs w:val="22"/>
        </w:rPr>
        <w:t xml:space="preserve">This information is available via Our Contracts Register can be found on the </w:t>
      </w:r>
      <w:proofErr w:type="spellStart"/>
      <w:r w:rsidRPr="00585705">
        <w:rPr>
          <w:rFonts w:ascii="Calibri" w:hAnsi="Calibri" w:cs="Calibri"/>
          <w:sz w:val="22"/>
          <w:szCs w:val="22"/>
        </w:rPr>
        <w:t>ProContract</w:t>
      </w:r>
      <w:proofErr w:type="spellEnd"/>
      <w:r w:rsidRPr="00585705">
        <w:rPr>
          <w:rFonts w:ascii="Calibri" w:hAnsi="Calibri" w:cs="Calibri"/>
          <w:sz w:val="22"/>
          <w:szCs w:val="22"/>
        </w:rPr>
        <w:t xml:space="preserve"> website - Wokingham Borough Council Contracts Register. </w:t>
      </w:r>
      <w:hyperlink r:id="rId9" w:history="1">
        <w:r w:rsidRPr="00585705">
          <w:rPr>
            <w:rStyle w:val="Hyperlink"/>
            <w:rFonts w:ascii="Calibri" w:hAnsi="Calibri" w:cs="Calibri"/>
            <w:sz w:val="22"/>
            <w:szCs w:val="22"/>
          </w:rPr>
          <w:t>https://procontract.due-north.com/ContractsRegister/Index?v=2</w:t>
        </w:r>
      </w:hyperlink>
      <w:r w:rsidRPr="00585705">
        <w:rPr>
          <w:rFonts w:ascii="Calibri" w:hAnsi="Calibri" w:cs="Calibri"/>
          <w:sz w:val="22"/>
          <w:szCs w:val="22"/>
        </w:rPr>
        <w:t xml:space="preserve"> </w:t>
      </w:r>
    </w:p>
    <w:p w14:paraId="2EC03A48"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Spend relating to personal healthcare budgets is 0.</w:t>
      </w:r>
    </w:p>
    <w:p w14:paraId="1F88AD02"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proofErr w:type="gramStart"/>
      <w:r w:rsidRPr="00585705">
        <w:rPr>
          <w:rFonts w:ascii="Calibri" w:eastAsia="Aptos" w:hAnsi="Calibri" w:cs="Calibri"/>
          <w:kern w:val="0"/>
          <w:sz w:val="22"/>
          <w:szCs w:val="22"/>
          <w14:ligatures w14:val="none"/>
        </w:rPr>
        <w:t>Total</w:t>
      </w:r>
      <w:proofErr w:type="gramEnd"/>
      <w:r w:rsidRPr="00585705">
        <w:rPr>
          <w:rFonts w:ascii="Calibri" w:eastAsia="Aptos" w:hAnsi="Calibri" w:cs="Calibri"/>
          <w:kern w:val="0"/>
          <w:sz w:val="22"/>
          <w:szCs w:val="22"/>
          <w14:ligatures w14:val="none"/>
        </w:rPr>
        <w:t xml:space="preserve"> spend from WBC is shown below which includes all council spend. This show all </w:t>
      </w:r>
      <w:proofErr w:type="gramStart"/>
      <w:r w:rsidRPr="00585705">
        <w:rPr>
          <w:rFonts w:ascii="Calibri" w:eastAsia="Aptos" w:hAnsi="Calibri" w:cs="Calibri"/>
          <w:kern w:val="0"/>
          <w:sz w:val="22"/>
          <w:szCs w:val="22"/>
          <w14:ligatures w14:val="none"/>
        </w:rPr>
        <w:t>spend</w:t>
      </w:r>
      <w:proofErr w:type="gramEnd"/>
      <w:r w:rsidRPr="00585705">
        <w:rPr>
          <w:rFonts w:ascii="Calibri" w:eastAsia="Aptos" w:hAnsi="Calibri" w:cs="Calibri"/>
          <w:kern w:val="0"/>
          <w:sz w:val="22"/>
          <w:szCs w:val="22"/>
          <w14:ligatures w14:val="none"/>
        </w:rPr>
        <w:t xml:space="preserve"> with these providers by financial year.</w:t>
      </w:r>
    </w:p>
    <w:tbl>
      <w:tblPr>
        <w:tblW w:w="0" w:type="auto"/>
        <w:tblCellMar>
          <w:left w:w="0" w:type="dxa"/>
          <w:right w:w="0" w:type="dxa"/>
        </w:tblCellMar>
        <w:tblLook w:val="04A0" w:firstRow="1" w:lastRow="0" w:firstColumn="1" w:lastColumn="0" w:noHBand="0" w:noVBand="1"/>
      </w:tblPr>
      <w:tblGrid>
        <w:gridCol w:w="1257"/>
        <w:gridCol w:w="1153"/>
        <w:gridCol w:w="1153"/>
        <w:gridCol w:w="1153"/>
        <w:gridCol w:w="1153"/>
        <w:gridCol w:w="1153"/>
        <w:gridCol w:w="1081"/>
        <w:gridCol w:w="903"/>
      </w:tblGrid>
      <w:tr w:rsidR="00EC7806" w:rsidRPr="00585705" w14:paraId="7DFACB6E" w14:textId="77777777" w:rsidTr="00EC7806">
        <w:tc>
          <w:tcPr>
            <w:tcW w:w="1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1D8D4"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Provider</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81236"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2018</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F6940"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2019</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58899"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2020</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F6594E"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2021</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CEBC3"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2022</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7D7D5E"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2023</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F5DB6"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2024</w:t>
            </w:r>
          </w:p>
        </w:tc>
      </w:tr>
      <w:tr w:rsidR="00EC7806" w:rsidRPr="00585705" w14:paraId="42F1D8FE" w14:textId="77777777" w:rsidTr="00EC7806">
        <w:tc>
          <w:tcPr>
            <w:tcW w:w="1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B43A2"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Active Care Group</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5D3E5D50"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£11,085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C8EC07F"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£37,170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B7B9A55"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£30,260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5FDC92AF"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£35,205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2BF41B51"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£25,450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EC8C0CD"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699522A"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r>
      <w:tr w:rsidR="00EC7806" w:rsidRPr="00585705" w14:paraId="384E1F6B" w14:textId="77777777" w:rsidTr="00EC7806">
        <w:tc>
          <w:tcPr>
            <w:tcW w:w="1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E69E7"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St Andrews Healthcare</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50D1B6C2"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85D0346"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3536341"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711391BF"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6CB4420"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F013D4B"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D992C88"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r>
      <w:tr w:rsidR="00EC7806" w:rsidRPr="00585705" w14:paraId="6EAA8EA0" w14:textId="77777777" w:rsidTr="00EC7806">
        <w:tc>
          <w:tcPr>
            <w:tcW w:w="1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826B0"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Elysium Healthcare</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4190E71C"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6EFEE759"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£7,680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3FE3ACA"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£13,920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B224229"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C50CC27"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2B4C2EC"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6BA68789"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r>
      <w:tr w:rsidR="00EC7806" w:rsidRPr="00585705" w14:paraId="5DC9DD8A" w14:textId="77777777" w:rsidTr="00EC7806">
        <w:tc>
          <w:tcPr>
            <w:tcW w:w="1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E8AA3"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kern w:val="0"/>
                <w:sz w:val="22"/>
                <w:szCs w:val="22"/>
                <w14:ligatures w14:val="none"/>
              </w:rPr>
              <w:t>Cygnet</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34894218"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£208,552</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0B95303"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£170,720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0B247B9"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£284,361</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2764F6F"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£215,160</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FD23D40"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£154,341</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4F84979E"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£29,387</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2CB95A4C"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£0</w:t>
            </w:r>
          </w:p>
        </w:tc>
      </w:tr>
    </w:tbl>
    <w:p w14:paraId="2444DF5C"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 </w:t>
      </w:r>
    </w:p>
    <w:p w14:paraId="0139994D" w14:textId="77777777" w:rsidR="00EC7806" w:rsidRPr="00585705" w:rsidRDefault="00EC7806"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color w:val="000000"/>
          <w:kern w:val="0"/>
          <w:sz w:val="22"/>
          <w:szCs w:val="22"/>
          <w14:ligatures w14:val="none"/>
        </w:rPr>
        <w:t> </w:t>
      </w:r>
    </w:p>
    <w:p w14:paraId="313EFF66" w14:textId="4F485451"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color w:val="000000"/>
          <w:kern w:val="0"/>
          <w:sz w:val="22"/>
          <w:szCs w:val="22"/>
          <w14:ligatures w14:val="none"/>
        </w:rPr>
        <w:t xml:space="preserve"> 3. What is the structural payroll for each patient outsourced to one of the above providers and contractual spending. How much is retained by local authority how much is retained by private provider. </w:t>
      </w:r>
    </w:p>
    <w:p w14:paraId="58D8AB55" w14:textId="4FDCD4F5" w:rsidR="00EC7806" w:rsidRPr="00585705" w:rsidRDefault="00585705" w:rsidP="00EC7806">
      <w:pPr>
        <w:spacing w:after="0" w:line="240" w:lineRule="auto"/>
        <w:rPr>
          <w:rFonts w:ascii="Calibri" w:eastAsia="Aptos" w:hAnsi="Calibri" w:cs="Calibri"/>
          <w:kern w:val="0"/>
          <w:sz w:val="22"/>
          <w:szCs w:val="22"/>
          <w14:ligatures w14:val="none"/>
        </w:rPr>
      </w:pPr>
      <w:r w:rsidRPr="00585705">
        <w:rPr>
          <w:rFonts w:ascii="Calibri" w:eastAsia="Aptos" w:hAnsi="Calibri" w:cs="Calibri"/>
          <w:kern w:val="0"/>
          <w:sz w:val="22"/>
          <w:szCs w:val="22"/>
          <w14:ligatures w14:val="none"/>
        </w:rPr>
        <w:t xml:space="preserve">Childrens Services: </w:t>
      </w:r>
      <w:r w:rsidR="00EC7806" w:rsidRPr="00585705">
        <w:rPr>
          <w:rFonts w:ascii="Calibri" w:eastAsia="Aptos" w:hAnsi="Calibri" w:cs="Calibri"/>
          <w:kern w:val="0"/>
          <w:sz w:val="22"/>
          <w:szCs w:val="22"/>
          <w14:ligatures w14:val="none"/>
        </w:rPr>
        <w:t>Relating to personal healthcare budgets there is no spend so no payroll or retention by WBC or the provider. For other payments we do not have information on provider payroll and none of the funding is retained by WBC.</w:t>
      </w:r>
    </w:p>
    <w:p w14:paraId="0B31B1B6" w14:textId="068F1F6B" w:rsidR="00EC7806" w:rsidRPr="00585705" w:rsidRDefault="00585705" w:rsidP="00EC7806">
      <w:pPr>
        <w:spacing w:after="0" w:line="240" w:lineRule="auto"/>
        <w:rPr>
          <w:rFonts w:ascii="Calibri" w:eastAsia="Aptos" w:hAnsi="Calibri" w:cs="Calibri"/>
          <w:kern w:val="0"/>
          <w:sz w:val="22"/>
          <w:szCs w:val="22"/>
          <w:lang w:eastAsia="en-GB"/>
          <w14:ligatures w14:val="none"/>
        </w:rPr>
      </w:pPr>
      <w:r w:rsidRPr="00585705">
        <w:rPr>
          <w:rFonts w:ascii="Calibri" w:eastAsia="Aptos" w:hAnsi="Calibri" w:cs="Calibri"/>
          <w:kern w:val="0"/>
          <w:sz w:val="22"/>
          <w:szCs w:val="22"/>
          <w14:ligatures w14:val="none"/>
        </w:rPr>
        <w:t xml:space="preserve">Adult Social Care: </w:t>
      </w:r>
      <w:r w:rsidRPr="00585705">
        <w:rPr>
          <w:rFonts w:ascii="Calibri" w:hAnsi="Calibri" w:cs="Calibri"/>
          <w:sz w:val="22"/>
          <w:szCs w:val="22"/>
        </w:rPr>
        <w:t>Payment for domiciliary care is an hourly rate.</w:t>
      </w:r>
      <w:r w:rsidRPr="00585705">
        <w:rPr>
          <w:rFonts w:ascii="Calibri" w:hAnsi="Calibri" w:cs="Calibri"/>
          <w:sz w:val="22"/>
          <w:szCs w:val="22"/>
        </w:rPr>
        <w:t xml:space="preserve"> </w:t>
      </w:r>
      <w:r w:rsidRPr="00585705">
        <w:rPr>
          <w:rFonts w:ascii="Calibri" w:hAnsi="Calibri" w:cs="Calibri"/>
          <w:sz w:val="22"/>
          <w:szCs w:val="22"/>
        </w:rPr>
        <w:t>Payment for residential / nursing is a rate per week.</w:t>
      </w:r>
      <w:r w:rsidRPr="00585705">
        <w:rPr>
          <w:rFonts w:ascii="Calibri" w:hAnsi="Calibri" w:cs="Calibri"/>
          <w:sz w:val="22"/>
          <w:szCs w:val="22"/>
        </w:rPr>
        <w:t xml:space="preserve"> </w:t>
      </w:r>
      <w:r w:rsidRPr="00585705">
        <w:rPr>
          <w:rFonts w:ascii="Calibri" w:hAnsi="Calibri" w:cs="Calibri"/>
          <w:sz w:val="22"/>
          <w:szCs w:val="22"/>
        </w:rPr>
        <w:t>The council do not retain any of the above.</w:t>
      </w:r>
      <w:r w:rsidRPr="00585705">
        <w:rPr>
          <w:rFonts w:ascii="Calibri" w:hAnsi="Calibri" w:cs="Calibri"/>
          <w:sz w:val="22"/>
          <w:szCs w:val="22"/>
        </w:rPr>
        <w:br/>
      </w:r>
      <w:r w:rsidR="00EC7806" w:rsidRPr="00585705">
        <w:rPr>
          <w:rFonts w:ascii="Calibri" w:eastAsia="Aptos" w:hAnsi="Calibri" w:cs="Calibri"/>
          <w:color w:val="000000"/>
          <w:kern w:val="0"/>
          <w:sz w:val="22"/>
          <w:szCs w:val="22"/>
          <w14:ligatures w14:val="none"/>
        </w:rPr>
        <w:t> </w:t>
      </w:r>
    </w:p>
    <w:p w14:paraId="0C7B5C67" w14:textId="77777777" w:rsidR="00EC7806" w:rsidRPr="00585705" w:rsidRDefault="00EC7806" w:rsidP="00EC7806">
      <w:pPr>
        <w:spacing w:after="0" w:line="240" w:lineRule="auto"/>
        <w:rPr>
          <w:rFonts w:ascii="Calibri" w:eastAsia="Aptos" w:hAnsi="Calibri" w:cs="Calibri"/>
          <w:b/>
          <w:bCs/>
          <w:kern w:val="0"/>
          <w:sz w:val="22"/>
          <w:szCs w:val="22"/>
          <w:lang w:eastAsia="en-GB"/>
          <w14:ligatures w14:val="none"/>
        </w:rPr>
      </w:pPr>
      <w:r w:rsidRPr="00585705">
        <w:rPr>
          <w:rFonts w:ascii="Calibri" w:eastAsia="Aptos" w:hAnsi="Calibri" w:cs="Calibri"/>
          <w:b/>
          <w:bCs/>
          <w:color w:val="000000"/>
          <w:kern w:val="0"/>
          <w:sz w:val="22"/>
          <w:szCs w:val="22"/>
          <w14:ligatures w14:val="none"/>
        </w:rPr>
        <w:t>4. Are council budgets and sessions open to public oversight and scrutiny.</w:t>
      </w:r>
    </w:p>
    <w:p w14:paraId="6B78541E" w14:textId="77777777" w:rsidR="00585705" w:rsidRPr="00585705" w:rsidRDefault="00585705" w:rsidP="00EC7806">
      <w:pPr>
        <w:spacing w:after="0" w:line="240" w:lineRule="auto"/>
        <w:rPr>
          <w:rFonts w:ascii="Calibri" w:hAnsi="Calibri" w:cs="Calibri"/>
          <w:sz w:val="22"/>
          <w:szCs w:val="22"/>
        </w:rPr>
      </w:pPr>
      <w:r w:rsidRPr="00585705">
        <w:rPr>
          <w:rFonts w:ascii="Calibri" w:hAnsi="Calibri" w:cs="Calibri"/>
          <w:sz w:val="22"/>
          <w:szCs w:val="22"/>
        </w:rPr>
        <w:t>Yes, through the Community and Corporate Overview and Scrutiny meetings</w:t>
      </w:r>
      <w:r w:rsidRPr="00585705">
        <w:rPr>
          <w:rFonts w:ascii="Calibri" w:hAnsi="Calibri" w:cs="Calibri"/>
          <w:sz w:val="22"/>
          <w:szCs w:val="22"/>
        </w:rPr>
        <w:t xml:space="preserve"> </w:t>
      </w:r>
    </w:p>
    <w:p w14:paraId="73948141" w14:textId="17A9E30E" w:rsidR="00EC7806" w:rsidRPr="00585705" w:rsidRDefault="00EC7806" w:rsidP="00EC7806">
      <w:pPr>
        <w:spacing w:after="0" w:line="240" w:lineRule="auto"/>
        <w:rPr>
          <w:rFonts w:ascii="Calibri" w:eastAsia="Aptos" w:hAnsi="Calibri" w:cs="Calibri"/>
          <w:kern w:val="0"/>
          <w:sz w:val="22"/>
          <w:szCs w:val="22"/>
          <w:lang w:eastAsia="en-GB"/>
          <w14:ligatures w14:val="none"/>
        </w:rPr>
      </w:pPr>
      <w:hyperlink r:id="rId10" w:history="1">
        <w:r w:rsidRPr="00585705">
          <w:rPr>
            <w:rFonts w:ascii="Calibri" w:eastAsia="Aptos" w:hAnsi="Calibri" w:cs="Calibri"/>
            <w:color w:val="467886"/>
            <w:kern w:val="0"/>
            <w:sz w:val="22"/>
            <w:szCs w:val="22"/>
            <w:u w:val="single"/>
            <w14:ligatures w14:val="none"/>
          </w:rPr>
          <w:t>Browse meetings - Overview and Scrutiny Management Committee | Wokingham</w:t>
        </w:r>
      </w:hyperlink>
      <w:r w:rsidRPr="00585705">
        <w:rPr>
          <w:rFonts w:ascii="Calibri" w:eastAsia="Aptos" w:hAnsi="Calibri" w:cs="Calibri"/>
          <w:kern w:val="0"/>
          <w:sz w:val="22"/>
          <w:szCs w:val="22"/>
          <w14:ligatures w14:val="none"/>
        </w:rPr>
        <w:t xml:space="preserve"> </w:t>
      </w:r>
    </w:p>
    <w:p w14:paraId="232F9067" w14:textId="77777777" w:rsidR="00EC7806" w:rsidRPr="00585705" w:rsidRDefault="00EC7806">
      <w:pPr>
        <w:rPr>
          <w:rFonts w:ascii="Calibri" w:hAnsi="Calibri" w:cs="Calibri"/>
          <w:sz w:val="22"/>
          <w:szCs w:val="22"/>
        </w:rPr>
      </w:pPr>
    </w:p>
    <w:sectPr w:rsidR="00EC7806" w:rsidRPr="00585705">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08D36" w14:textId="77777777" w:rsidR="00CB039A" w:rsidRDefault="00CB039A" w:rsidP="00EC7806">
      <w:pPr>
        <w:spacing w:after="0" w:line="240" w:lineRule="auto"/>
      </w:pPr>
      <w:r>
        <w:separator/>
      </w:r>
    </w:p>
  </w:endnote>
  <w:endnote w:type="continuationSeparator" w:id="0">
    <w:p w14:paraId="65E9E4B6" w14:textId="77777777" w:rsidR="00CB039A" w:rsidRDefault="00CB039A" w:rsidP="00EC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DB54" w14:textId="2C663196" w:rsidR="00EC7806" w:rsidRDefault="00EC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CB1E" w14:textId="2F88C123" w:rsidR="00EC7806" w:rsidRDefault="00EC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4634" w14:textId="3039AC03" w:rsidR="00EC7806" w:rsidRDefault="00EC7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AF71" w14:textId="77777777" w:rsidR="00CB039A" w:rsidRDefault="00CB039A" w:rsidP="00EC7806">
      <w:pPr>
        <w:spacing w:after="0" w:line="240" w:lineRule="auto"/>
      </w:pPr>
      <w:r>
        <w:separator/>
      </w:r>
    </w:p>
  </w:footnote>
  <w:footnote w:type="continuationSeparator" w:id="0">
    <w:p w14:paraId="48139EC1" w14:textId="77777777" w:rsidR="00CB039A" w:rsidRDefault="00CB039A" w:rsidP="00EC7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06"/>
    <w:rsid w:val="005240B8"/>
    <w:rsid w:val="00585705"/>
    <w:rsid w:val="00CB039A"/>
    <w:rsid w:val="00D1462E"/>
    <w:rsid w:val="00EC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104"/>
  <w15:chartTrackingRefBased/>
  <w15:docId w15:val="{B3F32C35-CE1C-4B16-AE06-F31F00E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806"/>
    <w:rPr>
      <w:rFonts w:eastAsiaTheme="majorEastAsia" w:cstheme="majorBidi"/>
      <w:color w:val="272727" w:themeColor="text1" w:themeTint="D8"/>
    </w:rPr>
  </w:style>
  <w:style w:type="paragraph" w:styleId="Title">
    <w:name w:val="Title"/>
    <w:basedOn w:val="Normal"/>
    <w:next w:val="Normal"/>
    <w:link w:val="TitleChar"/>
    <w:uiPriority w:val="10"/>
    <w:qFormat/>
    <w:rsid w:val="00EC7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806"/>
    <w:pPr>
      <w:spacing w:before="160"/>
      <w:jc w:val="center"/>
    </w:pPr>
    <w:rPr>
      <w:i/>
      <w:iCs/>
      <w:color w:val="404040" w:themeColor="text1" w:themeTint="BF"/>
    </w:rPr>
  </w:style>
  <w:style w:type="character" w:customStyle="1" w:styleId="QuoteChar">
    <w:name w:val="Quote Char"/>
    <w:basedOn w:val="DefaultParagraphFont"/>
    <w:link w:val="Quote"/>
    <w:uiPriority w:val="29"/>
    <w:rsid w:val="00EC7806"/>
    <w:rPr>
      <w:i/>
      <w:iCs/>
      <w:color w:val="404040" w:themeColor="text1" w:themeTint="BF"/>
    </w:rPr>
  </w:style>
  <w:style w:type="paragraph" w:styleId="ListParagraph">
    <w:name w:val="List Paragraph"/>
    <w:basedOn w:val="Normal"/>
    <w:uiPriority w:val="34"/>
    <w:qFormat/>
    <w:rsid w:val="00EC7806"/>
    <w:pPr>
      <w:ind w:left="720"/>
      <w:contextualSpacing/>
    </w:pPr>
  </w:style>
  <w:style w:type="character" w:styleId="IntenseEmphasis">
    <w:name w:val="Intense Emphasis"/>
    <w:basedOn w:val="DefaultParagraphFont"/>
    <w:uiPriority w:val="21"/>
    <w:qFormat/>
    <w:rsid w:val="00EC7806"/>
    <w:rPr>
      <w:i/>
      <w:iCs/>
      <w:color w:val="0F4761" w:themeColor="accent1" w:themeShade="BF"/>
    </w:rPr>
  </w:style>
  <w:style w:type="paragraph" w:styleId="IntenseQuote">
    <w:name w:val="Intense Quote"/>
    <w:basedOn w:val="Normal"/>
    <w:next w:val="Normal"/>
    <w:link w:val="IntenseQuoteChar"/>
    <w:uiPriority w:val="30"/>
    <w:qFormat/>
    <w:rsid w:val="00EC7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806"/>
    <w:rPr>
      <w:i/>
      <w:iCs/>
      <w:color w:val="0F4761" w:themeColor="accent1" w:themeShade="BF"/>
    </w:rPr>
  </w:style>
  <w:style w:type="character" w:styleId="IntenseReference">
    <w:name w:val="Intense Reference"/>
    <w:basedOn w:val="DefaultParagraphFont"/>
    <w:uiPriority w:val="32"/>
    <w:qFormat/>
    <w:rsid w:val="00EC7806"/>
    <w:rPr>
      <w:b/>
      <w:bCs/>
      <w:smallCaps/>
      <w:color w:val="0F4761" w:themeColor="accent1" w:themeShade="BF"/>
      <w:spacing w:val="5"/>
    </w:rPr>
  </w:style>
  <w:style w:type="paragraph" w:styleId="Footer">
    <w:name w:val="footer"/>
    <w:basedOn w:val="Normal"/>
    <w:link w:val="FooterChar"/>
    <w:uiPriority w:val="99"/>
    <w:unhideWhenUsed/>
    <w:rsid w:val="00EC7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806"/>
  </w:style>
  <w:style w:type="character" w:styleId="Hyperlink">
    <w:name w:val="Hyperlink"/>
    <w:basedOn w:val="DefaultParagraphFont"/>
    <w:uiPriority w:val="99"/>
    <w:unhideWhenUsed/>
    <w:rsid w:val="00585705"/>
    <w:rPr>
      <w:color w:val="467886" w:themeColor="hyperlink"/>
      <w:u w:val="single"/>
    </w:rPr>
  </w:style>
  <w:style w:type="character" w:styleId="UnresolvedMention">
    <w:name w:val="Unresolved Mention"/>
    <w:basedOn w:val="DefaultParagraphFont"/>
    <w:uiPriority w:val="99"/>
    <w:semiHidden/>
    <w:unhideWhenUsed/>
    <w:rsid w:val="00585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0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3.safelinks.protection.outlook.com/?url=https%3A%2F%2Fwokingham.moderngov.co.uk%2FieListMeetings.aspx%3FCommitteeId%3D142%23%3A~%3Atext%3DThe%2520Overview%2520and%2520Scrutiny%2520Management%2520Committee%2520is%2520responsible%2Cdevelopment%2520and%2520review%2520performance%2520monitoring%2520and%2520external%2520Scrutiny.&amp;data=05%7C02%7CChildrensServicesFOI%40wokingham.gov.uk%7Cdd1fa750bba147a9356b08dd9f670b91%7C996ee15c0b3e4a6f8e65120a9a51821a%7C0%7C0%7C638841987118178840%7CUnknown%7CTWFpbGZsb3d8eyJFbXB0eU1hcGkiOnRydWUsIlYiOiIwLjAuMDAwMCIsIlAiOiJXaW4zMiIsIkFOIjoiTWFpbCIsIldUIjoyfQ%3D%3D%7C0%7C%7C%7C&amp;sdata=8W53fe0LzzJWIeWxXb2llcDL1SyrK3NdTHt%2F7jZlPdY%3D&amp;reserved=0" TargetMode="External"/><Relationship Id="rId4" Type="http://schemas.openxmlformats.org/officeDocument/2006/relationships/styles" Target="styles.xml"/><Relationship Id="rId9" Type="http://schemas.openxmlformats.org/officeDocument/2006/relationships/hyperlink" Target="https://procontract.due-north.com/ContractsRegister/Index?v=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F9AE5AC075F04D985B51BF9D132B85" ma:contentTypeVersion="10" ma:contentTypeDescription="Create a new document." ma:contentTypeScope="" ma:versionID="f793021f891b845173ecacb09fb98ca9">
  <xsd:schema xmlns:xsd="http://www.w3.org/2001/XMLSchema" xmlns:xs="http://www.w3.org/2001/XMLSchema" xmlns:p="http://schemas.microsoft.com/office/2006/metadata/properties" xmlns:ns2="cdf11acc-8b49-4b30-8ff4-f12135f75794" xmlns:ns3="a9b98276-e18b-4fbb-b2c3-6ff9825eaa1f" targetNamespace="http://schemas.microsoft.com/office/2006/metadata/properties" ma:root="true" ma:fieldsID="bf78833db718217d7a920d68e7e9391f" ns2:_="" ns3:_="">
    <xsd:import namespace="cdf11acc-8b49-4b30-8ff4-f12135f75794"/>
    <xsd:import namespace="a9b98276-e18b-4fbb-b2c3-6ff9825ea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11acc-8b49-4b30-8ff4-f12135f7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98276-e18b-4fbb-b2c3-6ff9825eaa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8ef9b4-995c-4dd0-9445-ae81155a6bb7}" ma:internalName="TaxCatchAll" ma:showField="CatchAllData" ma:web="a9b98276-e18b-4fbb-b2c3-6ff9825ea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b98276-e18b-4fbb-b2c3-6ff9825eaa1f" xsi:nil="true"/>
    <lcf76f155ced4ddcb4097134ff3c332f xmlns="cdf11acc-8b49-4b30-8ff4-f12135f75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AEBE0F-0A8C-4479-A5AE-9CB98F44D7DA}">
  <ds:schemaRefs>
    <ds:schemaRef ds:uri="http://schemas.microsoft.com/sharepoint/v3/contenttype/forms"/>
  </ds:schemaRefs>
</ds:datastoreItem>
</file>

<file path=customXml/itemProps2.xml><?xml version="1.0" encoding="utf-8"?>
<ds:datastoreItem xmlns:ds="http://schemas.openxmlformats.org/officeDocument/2006/customXml" ds:itemID="{9310467A-1D2D-43B2-9B5C-DAC1EF70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11acc-8b49-4b30-8ff4-f12135f75794"/>
    <ds:schemaRef ds:uri="a9b98276-e18b-4fbb-b2c3-6ff9825ea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C31D5-66EE-4097-AF6E-85E82F07B596}">
  <ds:schemaRefs>
    <ds:schemaRef ds:uri="http://schemas.microsoft.com/office/2006/metadata/properties"/>
    <ds:schemaRef ds:uri="http://schemas.microsoft.com/office/infopath/2007/PartnerControls"/>
    <ds:schemaRef ds:uri="a9b98276-e18b-4fbb-b2c3-6ff9825eaa1f"/>
    <ds:schemaRef ds:uri="cdf11acc-8b49-4b30-8ff4-f12135f757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Moore</dc:creator>
  <cp:keywords/>
  <dc:description/>
  <cp:lastModifiedBy>Frankie Lawrence</cp:lastModifiedBy>
  <cp:revision>2</cp:revision>
  <dcterms:created xsi:type="dcterms:W3CDTF">2025-06-03T13:30:00Z</dcterms:created>
  <dcterms:modified xsi:type="dcterms:W3CDTF">2025-06-03T13:30:00Z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0x010100C8F9AE5AC075F04D985B51BF9D132B85</vt:lpwstr>
  </property>
  <property fmtid="{D5CDD505-2E9C-101B-9397-08002B2CF9AE}" pid="3" name="MSIP_Label_d17f5eab-0951-45e7-baa9-357beec0b77b_Enabled">
    <vt:lpwstr>true</vt:lpwstr>
  </property>
  <property fmtid="{D5CDD505-2E9C-101B-9397-08002B2CF9AE}" pid="4" name="MSIP_Label_d17f5eab-0951-45e7-baa9-357beec0b77b_SetDate">
    <vt:lpwstr>2025-06-03T13:29:44Z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605cacfe-f4e8-485e-a4fa-f18dda00c535</vt:lpwstr>
  </property>
  <property fmtid="{D5CDD505-2E9C-101B-9397-08002B2CF9AE}" pid="9" name="MSIP_Label_d17f5eab-0951-45e7-baa9-357beec0b77b_ContentBits">
    <vt:lpwstr>0</vt:lpwstr>
  </property>
  <property fmtid="{D5CDD505-2E9C-101B-9397-08002B2CF9AE}" pid="10" name="MSIP_Label_d17f5eab-0951-45e7-baa9-357beec0b77b_Tag">
    <vt:lpwstr>10, 0, 1, 1</vt:lpwstr>
  </property>
</Properties>
</file>