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4E92" w14:textId="5BF3713C" w:rsidR="0073360D" w:rsidRPr="0073360D" w:rsidRDefault="0073360D" w:rsidP="0073360D">
      <w:pPr>
        <w:jc w:val="center"/>
        <w:rPr>
          <w:rFonts w:ascii="Calibri" w:hAnsi="Calibri" w:cs="Calibri"/>
          <w:b/>
          <w:bCs/>
          <w:sz w:val="22"/>
          <w:szCs w:val="22"/>
          <w:u w:val="single"/>
        </w:rPr>
      </w:pPr>
      <w:r w:rsidRPr="0073360D">
        <w:rPr>
          <w:rFonts w:ascii="Calibri" w:hAnsi="Calibri" w:cs="Calibri"/>
          <w:b/>
          <w:bCs/>
          <w:sz w:val="22"/>
          <w:szCs w:val="22"/>
          <w:u w:val="single"/>
        </w:rPr>
        <w:t>WBCIR:19891</w:t>
      </w:r>
    </w:p>
    <w:p w14:paraId="595C4065" w14:textId="3DD429E8"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This request relates to district-level waste collection and recycling data, including plastic and aluminium waste, contamination rates and kerbside/non-kerbside collection methods. Within this it also covers how you are preparing for the Deposit Return Scheme starting in 2027.</w:t>
      </w:r>
    </w:p>
    <w:p w14:paraId="431F376F" w14:textId="77777777" w:rsidR="003B3365" w:rsidRPr="0073360D" w:rsidRDefault="003B3365" w:rsidP="003B3365">
      <w:pPr>
        <w:rPr>
          <w:rFonts w:ascii="Calibri" w:hAnsi="Calibri" w:cs="Calibri"/>
          <w:b/>
          <w:bCs/>
          <w:sz w:val="22"/>
          <w:szCs w:val="22"/>
        </w:rPr>
      </w:pPr>
    </w:p>
    <w:p w14:paraId="1F9E87E0"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1. Contractors</w:t>
      </w:r>
    </w:p>
    <w:p w14:paraId="1FCF5B18"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Please can you provide a list of all contractors of facilities you use for collection of waste and recycling including:</w:t>
      </w:r>
    </w:p>
    <w:p w14:paraId="70E65C77" w14:textId="569829FF"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a)</w:t>
      </w:r>
      <w:r w:rsidRPr="0073360D">
        <w:rPr>
          <w:rFonts w:ascii="Calibri" w:hAnsi="Calibri" w:cs="Calibri"/>
          <w:b/>
          <w:bCs/>
          <w:sz w:val="22"/>
          <w:szCs w:val="22"/>
        </w:rPr>
        <w:t xml:space="preserve"> Kerbside collections (e.g. plastic waste dry mixed recycling and aluminium cans</w:t>
      </w:r>
    </w:p>
    <w:p w14:paraId="3DA4DB61"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Veolia – Kerbside Household Waste Collections Contract start and end dates – April 2012 - June 2026 Annual or total contract value - £5.7m</w:t>
      </w:r>
    </w:p>
    <w:p w14:paraId="7880E2CA"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xml:space="preserve">Performance indicators or incentives used </w:t>
      </w:r>
      <w:proofErr w:type="gramStart"/>
      <w:r w:rsidRPr="003B3365">
        <w:rPr>
          <w:rFonts w:ascii="Calibri" w:hAnsi="Calibri" w:cs="Calibri"/>
          <w:sz w:val="22"/>
          <w:szCs w:val="22"/>
        </w:rPr>
        <w:t>including</w:t>
      </w:r>
      <w:proofErr w:type="gramEnd"/>
      <w:r w:rsidRPr="003B3365">
        <w:rPr>
          <w:rFonts w:ascii="Calibri" w:hAnsi="Calibri" w:cs="Calibri"/>
          <w:sz w:val="22"/>
          <w:szCs w:val="22"/>
        </w:rPr>
        <w:t xml:space="preserve"> recycling targets, contamination thresholds and any associated bonuses/penalties:</w:t>
      </w:r>
    </w:p>
    <w:p w14:paraId="03895553"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Missed collections 30 per 100,000</w:t>
      </w:r>
    </w:p>
    <w:p w14:paraId="469B0108" w14:textId="631D83D1" w:rsidR="003B3365" w:rsidRPr="003B3365" w:rsidRDefault="003B3365" w:rsidP="003B3365">
      <w:pPr>
        <w:rPr>
          <w:rFonts w:ascii="Calibri" w:hAnsi="Calibri" w:cs="Calibri"/>
          <w:sz w:val="22"/>
          <w:szCs w:val="22"/>
        </w:rPr>
      </w:pPr>
      <w:r w:rsidRPr="003B3365">
        <w:rPr>
          <w:rFonts w:ascii="Calibri" w:hAnsi="Calibri" w:cs="Calibri"/>
          <w:sz w:val="22"/>
          <w:szCs w:val="22"/>
        </w:rPr>
        <w:t>• Assisted collections missed</w:t>
      </w:r>
      <w:r w:rsidR="0073360D" w:rsidRPr="0073360D">
        <w:rPr>
          <w:rFonts w:ascii="Calibri" w:hAnsi="Calibri" w:cs="Calibri"/>
          <w:sz w:val="22"/>
          <w:szCs w:val="22"/>
        </w:rPr>
        <w:t>:</w:t>
      </w:r>
      <w:r w:rsidRPr="003B3365">
        <w:rPr>
          <w:rFonts w:ascii="Calibri" w:hAnsi="Calibri" w:cs="Calibri"/>
          <w:sz w:val="22"/>
          <w:szCs w:val="22"/>
        </w:rPr>
        <w:t xml:space="preserve"> 1%</w:t>
      </w:r>
    </w:p>
    <w:p w14:paraId="43836C5E" w14:textId="4AD9F720" w:rsidR="003B3365" w:rsidRPr="003B3365" w:rsidRDefault="003B3365" w:rsidP="003B3365">
      <w:pPr>
        <w:rPr>
          <w:rFonts w:ascii="Calibri" w:hAnsi="Calibri" w:cs="Calibri"/>
          <w:sz w:val="22"/>
          <w:szCs w:val="22"/>
        </w:rPr>
      </w:pPr>
      <w:r w:rsidRPr="003B3365">
        <w:rPr>
          <w:rFonts w:ascii="Calibri" w:hAnsi="Calibri" w:cs="Calibri"/>
          <w:sz w:val="22"/>
          <w:szCs w:val="22"/>
        </w:rPr>
        <w:t>• Clinical waste collections missed</w:t>
      </w:r>
      <w:r w:rsidR="0073360D" w:rsidRPr="0073360D">
        <w:rPr>
          <w:rFonts w:ascii="Calibri" w:hAnsi="Calibri" w:cs="Calibri"/>
          <w:sz w:val="22"/>
          <w:szCs w:val="22"/>
        </w:rPr>
        <w:t>:</w:t>
      </w:r>
      <w:r w:rsidRPr="003B3365">
        <w:rPr>
          <w:rFonts w:ascii="Calibri" w:hAnsi="Calibri" w:cs="Calibri"/>
          <w:sz w:val="22"/>
          <w:szCs w:val="22"/>
        </w:rPr>
        <w:t xml:space="preserve"> 1%</w:t>
      </w:r>
    </w:p>
    <w:p w14:paraId="23E13189" w14:textId="1548DBFC" w:rsidR="003B3365" w:rsidRPr="003B3365" w:rsidRDefault="003B3365" w:rsidP="003B3365">
      <w:pPr>
        <w:rPr>
          <w:rFonts w:ascii="Calibri" w:hAnsi="Calibri" w:cs="Calibri"/>
          <w:sz w:val="22"/>
          <w:szCs w:val="22"/>
        </w:rPr>
      </w:pPr>
      <w:r w:rsidRPr="003B3365">
        <w:rPr>
          <w:rFonts w:ascii="Calibri" w:hAnsi="Calibri" w:cs="Calibri"/>
          <w:sz w:val="22"/>
          <w:szCs w:val="22"/>
        </w:rPr>
        <w:t>• Replacement containers not delivered within 15 working days</w:t>
      </w:r>
      <w:r w:rsidR="0073360D" w:rsidRPr="0073360D">
        <w:rPr>
          <w:rFonts w:ascii="Calibri" w:hAnsi="Calibri" w:cs="Calibri"/>
          <w:sz w:val="22"/>
          <w:szCs w:val="22"/>
        </w:rPr>
        <w:t>:</w:t>
      </w:r>
      <w:r w:rsidRPr="003B3365">
        <w:rPr>
          <w:rFonts w:ascii="Calibri" w:hAnsi="Calibri" w:cs="Calibri"/>
          <w:sz w:val="22"/>
          <w:szCs w:val="22"/>
        </w:rPr>
        <w:t xml:space="preserve"> 1%</w:t>
      </w:r>
    </w:p>
    <w:p w14:paraId="11361104"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Number of complaints relating to containers not being returned to collection point – 5% of</w:t>
      </w:r>
    </w:p>
    <w:p w14:paraId="62377B6D"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total collections</w:t>
      </w:r>
    </w:p>
    <w:p w14:paraId="0586EE8D"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Complaints – 10 per month</w:t>
      </w:r>
    </w:p>
    <w:p w14:paraId="247A448E"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Recycling rate of 64%</w:t>
      </w:r>
    </w:p>
    <w:p w14:paraId="01A4D14F"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Where possible can the information be broken down by plastic, aluminium, dry mixed recycling – N/A</w:t>
      </w:r>
    </w:p>
    <w:p w14:paraId="2AFE6F62"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FCC - Receipt and management of municipal waste Fee structures – Fixed contract fee</w:t>
      </w:r>
    </w:p>
    <w:p w14:paraId="7E03D878"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Contract start and end dates; Dec 2006 – Dec 2031 Annual or total contract value - £11m</w:t>
      </w:r>
    </w:p>
    <w:p w14:paraId="74945F13"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Fee structures - Fees are fixed for waste treatment. There is some income sharing on sales revenues.</w:t>
      </w:r>
    </w:p>
    <w:p w14:paraId="7B105EA6"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xml:space="preserve">Performance indicators or incentives used </w:t>
      </w:r>
      <w:proofErr w:type="gramStart"/>
      <w:r w:rsidRPr="003B3365">
        <w:rPr>
          <w:rFonts w:ascii="Calibri" w:hAnsi="Calibri" w:cs="Calibri"/>
          <w:sz w:val="22"/>
          <w:szCs w:val="22"/>
        </w:rPr>
        <w:t>including</w:t>
      </w:r>
      <w:proofErr w:type="gramEnd"/>
      <w:r w:rsidRPr="003B3365">
        <w:rPr>
          <w:rFonts w:ascii="Calibri" w:hAnsi="Calibri" w:cs="Calibri"/>
          <w:sz w:val="22"/>
          <w:szCs w:val="22"/>
        </w:rPr>
        <w:t xml:space="preserve"> recycling targets, contamination thresholds and any associated bonuses/penalties - the recycling target is for 50% recycling by the end of the contract.</w:t>
      </w:r>
    </w:p>
    <w:p w14:paraId="7C3C15D1" w14:textId="3E0C0529" w:rsidR="003B3365" w:rsidRPr="0073360D" w:rsidRDefault="003B3365" w:rsidP="003B3365">
      <w:pPr>
        <w:rPr>
          <w:rFonts w:ascii="Calibri" w:hAnsi="Calibri" w:cs="Calibri"/>
          <w:sz w:val="22"/>
          <w:szCs w:val="22"/>
        </w:rPr>
      </w:pPr>
      <w:r w:rsidRPr="0073360D">
        <w:rPr>
          <w:rFonts w:ascii="Calibri" w:hAnsi="Calibri" w:cs="Calibri"/>
          <w:sz w:val="22"/>
          <w:szCs w:val="22"/>
        </w:rPr>
        <w:t>Where possible can the information be broken down by plastic, aluminium, dry mixed recycling - All answers relate to dry mixed recycling</w:t>
      </w:r>
    </w:p>
    <w:p w14:paraId="50763CA3" w14:textId="7CC41320"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b)</w:t>
      </w:r>
      <w:r w:rsidRPr="0073360D">
        <w:rPr>
          <w:rFonts w:ascii="Calibri" w:hAnsi="Calibri" w:cs="Calibri"/>
          <w:b/>
          <w:bCs/>
          <w:sz w:val="22"/>
          <w:szCs w:val="22"/>
        </w:rPr>
        <w:t xml:space="preserve"> Non-Kerbside collections – e.g. street bins, bins in public buildings, on-the-go waste.</w:t>
      </w:r>
    </w:p>
    <w:p w14:paraId="6DE27EDB"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Shorts Group Ltd – collection and disposal bins in council buildings Contract start and end dates - 01 Aug 2022 – 31 Jul 2027</w:t>
      </w:r>
    </w:p>
    <w:p w14:paraId="252996DD" w14:textId="7F68DBCA" w:rsidR="003B3365" w:rsidRPr="003B3365" w:rsidRDefault="003B3365" w:rsidP="003B3365">
      <w:pPr>
        <w:rPr>
          <w:rFonts w:ascii="Calibri" w:hAnsi="Calibri" w:cs="Calibri"/>
          <w:sz w:val="22"/>
          <w:szCs w:val="22"/>
        </w:rPr>
      </w:pPr>
      <w:r w:rsidRPr="003B3365">
        <w:rPr>
          <w:rFonts w:ascii="Calibri" w:hAnsi="Calibri" w:cs="Calibri"/>
          <w:sz w:val="22"/>
          <w:szCs w:val="22"/>
        </w:rPr>
        <w:lastRenderedPageBreak/>
        <w:t>Annual or total contract value</w:t>
      </w:r>
      <w:r w:rsidR="0073360D" w:rsidRPr="0073360D">
        <w:rPr>
          <w:rFonts w:ascii="Calibri" w:hAnsi="Calibri" w:cs="Calibri"/>
          <w:sz w:val="22"/>
          <w:szCs w:val="22"/>
        </w:rPr>
        <w:t>:</w:t>
      </w:r>
      <w:r w:rsidRPr="003B3365">
        <w:rPr>
          <w:rFonts w:ascii="Calibri" w:hAnsi="Calibri" w:cs="Calibri"/>
          <w:sz w:val="22"/>
          <w:szCs w:val="22"/>
        </w:rPr>
        <w:t xml:space="preserve"> 131,799.83 (03/10/22 – 31/05/25) Fee structures – Fixed rate for collections</w:t>
      </w:r>
    </w:p>
    <w:p w14:paraId="478D6723"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 xml:space="preserve">Performance indicators or incentives used </w:t>
      </w:r>
      <w:proofErr w:type="gramStart"/>
      <w:r w:rsidRPr="003B3365">
        <w:rPr>
          <w:rFonts w:ascii="Calibri" w:hAnsi="Calibri" w:cs="Calibri"/>
          <w:sz w:val="22"/>
          <w:szCs w:val="22"/>
        </w:rPr>
        <w:t>including</w:t>
      </w:r>
      <w:proofErr w:type="gramEnd"/>
      <w:r w:rsidRPr="003B3365">
        <w:rPr>
          <w:rFonts w:ascii="Calibri" w:hAnsi="Calibri" w:cs="Calibri"/>
          <w:sz w:val="22"/>
          <w:szCs w:val="22"/>
        </w:rPr>
        <w:t xml:space="preserve"> recycling targets, contamination thresholds and any associated bonuses/penalties –</w:t>
      </w:r>
    </w:p>
    <w:p w14:paraId="16BA952A"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Schools - commercial waste and recycling weight data (kg) Facilities - commercial waste and recycling weight data (kg)</w:t>
      </w:r>
    </w:p>
    <w:p w14:paraId="63011959" w14:textId="0EF931DF" w:rsidR="003B3365" w:rsidRPr="0073360D" w:rsidRDefault="003B3365" w:rsidP="003B3365">
      <w:pPr>
        <w:rPr>
          <w:rFonts w:ascii="Calibri" w:hAnsi="Calibri" w:cs="Calibri"/>
          <w:sz w:val="22"/>
          <w:szCs w:val="22"/>
        </w:rPr>
      </w:pPr>
      <w:r w:rsidRPr="0073360D">
        <w:rPr>
          <w:rFonts w:ascii="Calibri" w:hAnsi="Calibri" w:cs="Calibri"/>
          <w:sz w:val="22"/>
          <w:szCs w:val="22"/>
        </w:rPr>
        <w:t>Completed Collections Disposal Rates</w:t>
      </w:r>
    </w:p>
    <w:p w14:paraId="0C281C5B"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Monthly Spend Complaints</w:t>
      </w:r>
    </w:p>
    <w:p w14:paraId="79D48EE5" w14:textId="3D7CEBA5" w:rsidR="003B3365" w:rsidRPr="003B3365" w:rsidRDefault="003B3365" w:rsidP="003B3365">
      <w:pPr>
        <w:rPr>
          <w:rFonts w:ascii="Calibri" w:hAnsi="Calibri" w:cs="Calibri"/>
          <w:sz w:val="22"/>
          <w:szCs w:val="22"/>
        </w:rPr>
      </w:pPr>
      <w:r w:rsidRPr="003B3365">
        <w:rPr>
          <w:rFonts w:ascii="Calibri" w:hAnsi="Calibri" w:cs="Calibri"/>
          <w:sz w:val="22"/>
          <w:szCs w:val="22"/>
        </w:rPr>
        <w:t>Where possible can the information be broken down by plastic, aluminium, dry mixed recycling</w:t>
      </w:r>
      <w:r w:rsidR="0073360D" w:rsidRPr="0073360D">
        <w:rPr>
          <w:rFonts w:ascii="Calibri" w:hAnsi="Calibri" w:cs="Calibri"/>
          <w:sz w:val="22"/>
          <w:szCs w:val="22"/>
        </w:rPr>
        <w:t>:</w:t>
      </w:r>
      <w:r w:rsidRPr="003B3365">
        <w:rPr>
          <w:rFonts w:ascii="Calibri" w:hAnsi="Calibri" w:cs="Calibri"/>
          <w:sz w:val="22"/>
          <w:szCs w:val="22"/>
        </w:rPr>
        <w:t xml:space="preserve"> N/A</w:t>
      </w:r>
    </w:p>
    <w:p w14:paraId="6A7ADE1A" w14:textId="28EEE524" w:rsidR="003B3365" w:rsidRPr="003B3365" w:rsidRDefault="003B3365" w:rsidP="003B3365">
      <w:pPr>
        <w:rPr>
          <w:rFonts w:ascii="Calibri" w:hAnsi="Calibri" w:cs="Calibri"/>
          <w:sz w:val="22"/>
          <w:szCs w:val="22"/>
        </w:rPr>
      </w:pPr>
      <w:r w:rsidRPr="003B3365">
        <w:rPr>
          <w:rFonts w:ascii="Calibri" w:hAnsi="Calibri" w:cs="Calibri"/>
          <w:sz w:val="22"/>
          <w:szCs w:val="22"/>
        </w:rPr>
        <w:t>FCC</w:t>
      </w:r>
      <w:r w:rsidR="0073360D" w:rsidRPr="0073360D">
        <w:rPr>
          <w:rFonts w:ascii="Calibri" w:hAnsi="Calibri" w:cs="Calibri"/>
          <w:sz w:val="22"/>
          <w:szCs w:val="22"/>
        </w:rPr>
        <w:t>:</w:t>
      </w:r>
      <w:r w:rsidRPr="003B3365">
        <w:rPr>
          <w:rFonts w:ascii="Calibri" w:hAnsi="Calibri" w:cs="Calibri"/>
          <w:sz w:val="22"/>
          <w:szCs w:val="22"/>
        </w:rPr>
        <w:t xml:space="preserve"> street cleansing</w:t>
      </w:r>
    </w:p>
    <w:p w14:paraId="06A76F7A" w14:textId="0AC2B13A" w:rsidR="003B3365" w:rsidRPr="003B3365" w:rsidRDefault="003B3365" w:rsidP="003B3365">
      <w:pPr>
        <w:rPr>
          <w:rFonts w:ascii="Calibri" w:hAnsi="Calibri" w:cs="Calibri"/>
          <w:sz w:val="22"/>
          <w:szCs w:val="22"/>
        </w:rPr>
      </w:pPr>
      <w:r w:rsidRPr="003B3365">
        <w:rPr>
          <w:rFonts w:ascii="Calibri" w:hAnsi="Calibri" w:cs="Calibri"/>
          <w:sz w:val="22"/>
          <w:szCs w:val="22"/>
        </w:rPr>
        <w:t>Contract start and end dates</w:t>
      </w:r>
      <w:r w:rsidR="0073360D" w:rsidRPr="0073360D">
        <w:rPr>
          <w:rFonts w:ascii="Calibri" w:hAnsi="Calibri" w:cs="Calibri"/>
          <w:sz w:val="22"/>
          <w:szCs w:val="22"/>
        </w:rPr>
        <w:t>:</w:t>
      </w:r>
      <w:r w:rsidRPr="003B3365">
        <w:rPr>
          <w:rFonts w:ascii="Calibri" w:hAnsi="Calibri" w:cs="Calibri"/>
          <w:sz w:val="22"/>
          <w:szCs w:val="22"/>
        </w:rPr>
        <w:t xml:space="preserve"> April 2019 – March 2026</w:t>
      </w:r>
    </w:p>
    <w:p w14:paraId="606C619A" w14:textId="48E008A0" w:rsidR="003B3365" w:rsidRPr="003B3365" w:rsidRDefault="003B3365" w:rsidP="003B3365">
      <w:pPr>
        <w:rPr>
          <w:rFonts w:ascii="Calibri" w:hAnsi="Calibri" w:cs="Calibri"/>
          <w:sz w:val="22"/>
          <w:szCs w:val="22"/>
        </w:rPr>
      </w:pPr>
      <w:r w:rsidRPr="003B3365">
        <w:rPr>
          <w:rFonts w:ascii="Calibri" w:hAnsi="Calibri" w:cs="Calibri"/>
          <w:sz w:val="22"/>
          <w:szCs w:val="22"/>
        </w:rPr>
        <w:t>Annual or total contract value</w:t>
      </w:r>
      <w:r w:rsidR="0073360D" w:rsidRPr="0073360D">
        <w:rPr>
          <w:rFonts w:ascii="Calibri" w:hAnsi="Calibri" w:cs="Calibri"/>
          <w:sz w:val="22"/>
          <w:szCs w:val="22"/>
        </w:rPr>
        <w:t>:</w:t>
      </w:r>
      <w:r w:rsidRPr="003B3365">
        <w:rPr>
          <w:rFonts w:ascii="Calibri" w:hAnsi="Calibri" w:cs="Calibri"/>
          <w:sz w:val="22"/>
          <w:szCs w:val="22"/>
        </w:rPr>
        <w:t xml:space="preserve"> £1m Fee structures – Fixed with additional variables</w:t>
      </w:r>
    </w:p>
    <w:p w14:paraId="476736A3" w14:textId="59AF312D" w:rsidR="003B3365" w:rsidRPr="0073360D" w:rsidRDefault="003B3365" w:rsidP="003B3365">
      <w:pPr>
        <w:rPr>
          <w:rFonts w:ascii="Calibri" w:hAnsi="Calibri" w:cs="Calibri"/>
          <w:sz w:val="22"/>
          <w:szCs w:val="22"/>
        </w:rPr>
      </w:pPr>
      <w:r w:rsidRPr="003B3365">
        <w:rPr>
          <w:rFonts w:ascii="Calibri" w:hAnsi="Calibri" w:cs="Calibri"/>
          <w:sz w:val="22"/>
          <w:szCs w:val="22"/>
        </w:rPr>
        <w:t xml:space="preserve">Performance indicators or incentives used </w:t>
      </w:r>
      <w:proofErr w:type="gramStart"/>
      <w:r w:rsidRPr="003B3365">
        <w:rPr>
          <w:rFonts w:ascii="Calibri" w:hAnsi="Calibri" w:cs="Calibri"/>
          <w:sz w:val="22"/>
          <w:szCs w:val="22"/>
        </w:rPr>
        <w:t>including</w:t>
      </w:r>
      <w:proofErr w:type="gramEnd"/>
      <w:r w:rsidRPr="003B3365">
        <w:rPr>
          <w:rFonts w:ascii="Calibri" w:hAnsi="Calibri" w:cs="Calibri"/>
          <w:sz w:val="22"/>
          <w:szCs w:val="22"/>
        </w:rPr>
        <w:t xml:space="preserve"> recycling targets, contamination thresholds and any associated bonuses/penalties</w:t>
      </w:r>
      <w:r w:rsidR="0073360D" w:rsidRPr="0073360D">
        <w:rPr>
          <w:rFonts w:ascii="Calibri" w:hAnsi="Calibri" w:cs="Calibri"/>
          <w:sz w:val="22"/>
          <w:szCs w:val="22"/>
        </w:rPr>
        <w:t xml:space="preserve">: </w:t>
      </w:r>
      <w:r w:rsidRPr="0073360D">
        <w:rPr>
          <w:rFonts w:ascii="Calibri" w:hAnsi="Calibri" w:cs="Calibri"/>
          <w:sz w:val="22"/>
          <w:szCs w:val="22"/>
        </w:rPr>
        <w:t xml:space="preserve">Completion of agreed programme of street sweeping -95% </w:t>
      </w:r>
      <w:proofErr w:type="spellStart"/>
      <w:r w:rsidRPr="0073360D">
        <w:rPr>
          <w:rFonts w:ascii="Calibri" w:hAnsi="Calibri" w:cs="Calibri"/>
          <w:sz w:val="22"/>
          <w:szCs w:val="22"/>
        </w:rPr>
        <w:t>Flytipping</w:t>
      </w:r>
      <w:proofErr w:type="spellEnd"/>
      <w:r w:rsidRPr="0073360D">
        <w:rPr>
          <w:rFonts w:ascii="Calibri" w:hAnsi="Calibri" w:cs="Calibri"/>
          <w:sz w:val="22"/>
          <w:szCs w:val="22"/>
        </w:rPr>
        <w:t xml:space="preserve"> works orders completed within 3 working days – 100% Completion of agreed programme of litter bin emptying – 95%</w:t>
      </w:r>
    </w:p>
    <w:p w14:paraId="272E0A73" w14:textId="77777777" w:rsidR="003B3365" w:rsidRPr="0073360D" w:rsidRDefault="003B3365" w:rsidP="003B3365">
      <w:pPr>
        <w:rPr>
          <w:rFonts w:ascii="Calibri" w:hAnsi="Calibri" w:cs="Calibri"/>
          <w:sz w:val="22"/>
          <w:szCs w:val="22"/>
        </w:rPr>
      </w:pPr>
    </w:p>
    <w:p w14:paraId="2C539A19"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2. Waste Volumes and Collection Methods</w:t>
      </w:r>
    </w:p>
    <w:p w14:paraId="1E4B6D07"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Please can you provide the annual tonnages collected (2021/22–2023/2024) of:</w:t>
      </w:r>
    </w:p>
    <w:p w14:paraId="4EA26502"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 Plastic bottles — including an estimate of the percentage or volume of PET plastic, where </w:t>
      </w:r>
      <w:proofErr w:type="gramStart"/>
      <w:r w:rsidRPr="0073360D">
        <w:rPr>
          <w:rFonts w:ascii="Calibri" w:hAnsi="Calibri" w:cs="Calibri"/>
          <w:b/>
          <w:bCs/>
          <w:sz w:val="22"/>
          <w:szCs w:val="22"/>
        </w:rPr>
        <w:t>available;</w:t>
      </w:r>
      <w:proofErr w:type="gramEnd"/>
    </w:p>
    <w:p w14:paraId="4709D1CC"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 Other </w:t>
      </w:r>
      <w:proofErr w:type="gramStart"/>
      <w:r w:rsidRPr="0073360D">
        <w:rPr>
          <w:rFonts w:ascii="Calibri" w:hAnsi="Calibri" w:cs="Calibri"/>
          <w:b/>
          <w:bCs/>
          <w:sz w:val="22"/>
          <w:szCs w:val="22"/>
        </w:rPr>
        <w:t>plastics;</w:t>
      </w:r>
      <w:proofErr w:type="gramEnd"/>
    </w:p>
    <w:p w14:paraId="5EC2514E"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 Dry mixed </w:t>
      </w:r>
      <w:proofErr w:type="gramStart"/>
      <w:r w:rsidRPr="0073360D">
        <w:rPr>
          <w:rFonts w:ascii="Calibri" w:hAnsi="Calibri" w:cs="Calibri"/>
          <w:b/>
          <w:bCs/>
          <w:sz w:val="22"/>
          <w:szCs w:val="22"/>
        </w:rPr>
        <w:t>recycling;</w:t>
      </w:r>
      <w:proofErr w:type="gramEnd"/>
    </w:p>
    <w:p w14:paraId="5FB60124"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Aluminium cans.</w:t>
      </w:r>
    </w:p>
    <w:p w14:paraId="0C85F5BE" w14:textId="5C230F8A" w:rsidR="003B3365" w:rsidRPr="0073360D" w:rsidRDefault="003B3365" w:rsidP="003B3365">
      <w:pPr>
        <w:rPr>
          <w:rFonts w:ascii="Calibri" w:hAnsi="Calibri" w:cs="Calibri"/>
          <w:sz w:val="22"/>
          <w:szCs w:val="22"/>
          <w:u w:val="single"/>
        </w:rPr>
      </w:pPr>
      <w:r w:rsidRPr="0073360D">
        <w:rPr>
          <w:rFonts w:ascii="Calibri" w:hAnsi="Calibri" w:cs="Calibri"/>
          <w:sz w:val="22"/>
          <w:szCs w:val="22"/>
          <w:u w:val="single"/>
        </w:rPr>
        <w:t>Kerbside:</w:t>
      </w:r>
    </w:p>
    <w:p w14:paraId="03CD613C" w14:textId="17DC96C6" w:rsidR="003B3365" w:rsidRPr="0073360D" w:rsidRDefault="003B3365" w:rsidP="003B3365">
      <w:pPr>
        <w:rPr>
          <w:rFonts w:ascii="Calibri" w:hAnsi="Calibri" w:cs="Calibri"/>
          <w:sz w:val="22"/>
          <w:szCs w:val="22"/>
        </w:rPr>
      </w:pPr>
      <w:r w:rsidRPr="0073360D">
        <w:rPr>
          <w:rFonts w:ascii="Calibri" w:hAnsi="Calibri" w:cs="Calibri"/>
          <w:sz w:val="22"/>
          <w:szCs w:val="22"/>
        </w:rPr>
        <w:t xml:space="preserve">We believe that this request is covered under Exemption 21 </w:t>
      </w:r>
      <w:r w:rsidR="0073360D" w:rsidRPr="0073360D">
        <w:rPr>
          <w:rFonts w:ascii="Calibri" w:hAnsi="Calibri" w:cs="Calibri"/>
          <w:sz w:val="22"/>
          <w:szCs w:val="22"/>
        </w:rPr>
        <w:t xml:space="preserve">as this information is already </w:t>
      </w:r>
      <w:proofErr w:type="gramStart"/>
      <w:r w:rsidR="0073360D" w:rsidRPr="0073360D">
        <w:rPr>
          <w:rFonts w:ascii="Calibri" w:hAnsi="Calibri" w:cs="Calibri"/>
          <w:sz w:val="22"/>
          <w:szCs w:val="22"/>
        </w:rPr>
        <w:t xml:space="preserve">available, </w:t>
      </w:r>
      <w:r w:rsidRPr="0073360D">
        <w:rPr>
          <w:rFonts w:ascii="Calibri" w:hAnsi="Calibri" w:cs="Calibri"/>
          <w:sz w:val="22"/>
          <w:szCs w:val="22"/>
        </w:rPr>
        <w:t xml:space="preserve"> </w:t>
      </w:r>
      <w:proofErr w:type="spellStart"/>
      <w:r w:rsidRPr="0073360D">
        <w:rPr>
          <w:rFonts w:ascii="Calibri" w:hAnsi="Calibri" w:cs="Calibri"/>
          <w:sz w:val="22"/>
          <w:szCs w:val="22"/>
        </w:rPr>
        <w:t>WasteDataFlow</w:t>
      </w:r>
      <w:proofErr w:type="spellEnd"/>
      <w:proofErr w:type="gramEnd"/>
      <w:r w:rsidRPr="0073360D">
        <w:rPr>
          <w:rFonts w:ascii="Calibri" w:hAnsi="Calibri" w:cs="Calibri"/>
          <w:sz w:val="22"/>
          <w:szCs w:val="22"/>
        </w:rPr>
        <w:t xml:space="preserve"> is the system used by UK local authorities for municipal waste data reporting. The data entered on this system can be accessed by members of the public via a simple registration process. Registered users can go to the reports section of the </w:t>
      </w:r>
      <w:proofErr w:type="spellStart"/>
      <w:r w:rsidRPr="0073360D">
        <w:rPr>
          <w:rFonts w:ascii="Calibri" w:hAnsi="Calibri" w:cs="Calibri"/>
          <w:sz w:val="22"/>
          <w:szCs w:val="22"/>
        </w:rPr>
        <w:t>WasteDataFlow</w:t>
      </w:r>
      <w:proofErr w:type="spellEnd"/>
      <w:r w:rsidRPr="0073360D">
        <w:rPr>
          <w:rFonts w:ascii="Calibri" w:hAnsi="Calibri" w:cs="Calibri"/>
          <w:sz w:val="22"/>
          <w:szCs w:val="22"/>
        </w:rPr>
        <w:t xml:space="preserve"> website and select the Councils and reporting periods that they are interested in. A range of reports are available, but the raw data report for question 10 shows the waste type and quantity of waste collected at the kerbside. This will provide the information requested for 2021/22 – 2023/24.</w:t>
      </w:r>
    </w:p>
    <w:p w14:paraId="645699D1" w14:textId="29C5310E" w:rsidR="003B3365" w:rsidRPr="0073360D" w:rsidRDefault="003B3365" w:rsidP="003B3365">
      <w:pPr>
        <w:rPr>
          <w:rFonts w:ascii="Calibri" w:hAnsi="Calibri" w:cs="Calibri"/>
          <w:sz w:val="22"/>
          <w:szCs w:val="22"/>
        </w:rPr>
      </w:pPr>
      <w:r w:rsidRPr="0073360D">
        <w:rPr>
          <w:rFonts w:ascii="Calibri" w:hAnsi="Calibri" w:cs="Calibri"/>
          <w:b/>
          <w:bCs/>
          <w:sz w:val="22"/>
          <w:szCs w:val="22"/>
        </w:rPr>
        <w:t>If tonnages are estimated rather than measured, please indicate the method of estimation</w:t>
      </w:r>
      <w:r w:rsidR="0073360D" w:rsidRPr="0073360D">
        <w:rPr>
          <w:rFonts w:ascii="Calibri" w:hAnsi="Calibri" w:cs="Calibri"/>
          <w:b/>
          <w:bCs/>
          <w:sz w:val="22"/>
          <w:szCs w:val="22"/>
        </w:rPr>
        <w:t>:</w:t>
      </w:r>
      <w:r w:rsidRPr="0073360D">
        <w:rPr>
          <w:rFonts w:ascii="Calibri" w:hAnsi="Calibri" w:cs="Calibri"/>
          <w:b/>
          <w:bCs/>
          <w:sz w:val="22"/>
          <w:szCs w:val="22"/>
        </w:rPr>
        <w:t xml:space="preserve"> </w:t>
      </w:r>
      <w:r w:rsidRPr="0073360D">
        <w:rPr>
          <w:rFonts w:ascii="Calibri" w:hAnsi="Calibri" w:cs="Calibri"/>
          <w:sz w:val="22"/>
          <w:szCs w:val="22"/>
        </w:rPr>
        <w:t>N/A</w:t>
      </w:r>
    </w:p>
    <w:p w14:paraId="6A92E272" w14:textId="35B5D2BD" w:rsidR="003B3365" w:rsidRPr="0073360D" w:rsidRDefault="003B3365" w:rsidP="003B3365">
      <w:pPr>
        <w:rPr>
          <w:rFonts w:ascii="Calibri" w:hAnsi="Calibri" w:cs="Calibri"/>
          <w:sz w:val="22"/>
          <w:szCs w:val="22"/>
        </w:rPr>
      </w:pPr>
      <w:r w:rsidRPr="0073360D">
        <w:rPr>
          <w:rFonts w:ascii="Calibri" w:hAnsi="Calibri" w:cs="Calibri"/>
          <w:b/>
          <w:bCs/>
          <w:sz w:val="22"/>
          <w:szCs w:val="22"/>
        </w:rPr>
        <w:lastRenderedPageBreak/>
        <w:t>Can you indicate whether these were collected separately or as part of a co-mingled waste stream. Where possible, can you provide an estimate of the PET plastic content</w:t>
      </w:r>
      <w:r w:rsidR="0073360D" w:rsidRPr="0073360D">
        <w:rPr>
          <w:rFonts w:ascii="Calibri" w:hAnsi="Calibri" w:cs="Calibri"/>
          <w:b/>
          <w:bCs/>
          <w:sz w:val="22"/>
          <w:szCs w:val="22"/>
        </w:rPr>
        <w:t xml:space="preserve">: </w:t>
      </w:r>
      <w:r w:rsidRPr="0073360D">
        <w:rPr>
          <w:rFonts w:ascii="Calibri" w:hAnsi="Calibri" w:cs="Calibri"/>
          <w:sz w:val="22"/>
          <w:szCs w:val="22"/>
        </w:rPr>
        <w:t>Plastics and aluminium are collected as part of a comingled mixed dry recycling stream. We believe that the request on PET content is covered under Exemption 21 of the Freedom of Information Act 2000. The Waste Data Flow raw data report for question 100 shows the waste type and quantity sent for treatment and disposal. This will provide the information requested. (Material type can be filtered in column W and the tonnages are in column U.)</w:t>
      </w:r>
    </w:p>
    <w:p w14:paraId="5D8D96E6" w14:textId="77777777" w:rsidR="003B3365" w:rsidRPr="0073360D" w:rsidRDefault="003B3365" w:rsidP="003B3365">
      <w:pPr>
        <w:rPr>
          <w:rFonts w:ascii="Calibri" w:hAnsi="Calibri" w:cs="Calibri"/>
          <w:sz w:val="22"/>
          <w:szCs w:val="22"/>
        </w:rPr>
      </w:pPr>
    </w:p>
    <w:p w14:paraId="031781C3" w14:textId="77777777" w:rsidR="003B3365" w:rsidRPr="003B3365" w:rsidRDefault="003B3365" w:rsidP="003B3365">
      <w:pPr>
        <w:rPr>
          <w:rFonts w:ascii="Calibri" w:hAnsi="Calibri" w:cs="Calibri"/>
          <w:b/>
          <w:bCs/>
          <w:sz w:val="22"/>
          <w:szCs w:val="22"/>
          <w:u w:val="single"/>
        </w:rPr>
      </w:pPr>
      <w:r w:rsidRPr="003B3365">
        <w:rPr>
          <w:rFonts w:ascii="Calibri" w:hAnsi="Calibri" w:cs="Calibri"/>
          <w:b/>
          <w:bCs/>
          <w:sz w:val="22"/>
          <w:szCs w:val="22"/>
          <w:u w:val="single"/>
        </w:rPr>
        <w:t>Non kerbside</w:t>
      </w:r>
    </w:p>
    <w:p w14:paraId="37D9B520"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Please can you provide the annual tonnages collected (2021/22–2023/2024) of:</w:t>
      </w:r>
    </w:p>
    <w:p w14:paraId="36064CF4"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xml:space="preserve">• Plastic bottles — including an estimate of the percentage or volume of PET plastic, where </w:t>
      </w:r>
      <w:proofErr w:type="gramStart"/>
      <w:r w:rsidRPr="003B3365">
        <w:rPr>
          <w:rFonts w:ascii="Calibri" w:hAnsi="Calibri" w:cs="Calibri"/>
          <w:b/>
          <w:bCs/>
          <w:sz w:val="22"/>
          <w:szCs w:val="22"/>
        </w:rPr>
        <w:t>available;</w:t>
      </w:r>
      <w:proofErr w:type="gramEnd"/>
    </w:p>
    <w:p w14:paraId="2AC307E8"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xml:space="preserve">• Other </w:t>
      </w:r>
      <w:proofErr w:type="gramStart"/>
      <w:r w:rsidRPr="003B3365">
        <w:rPr>
          <w:rFonts w:ascii="Calibri" w:hAnsi="Calibri" w:cs="Calibri"/>
          <w:b/>
          <w:bCs/>
          <w:sz w:val="22"/>
          <w:szCs w:val="22"/>
        </w:rPr>
        <w:t>plastics;</w:t>
      </w:r>
      <w:proofErr w:type="gramEnd"/>
    </w:p>
    <w:p w14:paraId="17130BE7"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xml:space="preserve">• Dry mixed </w:t>
      </w:r>
      <w:proofErr w:type="gramStart"/>
      <w:r w:rsidRPr="003B3365">
        <w:rPr>
          <w:rFonts w:ascii="Calibri" w:hAnsi="Calibri" w:cs="Calibri"/>
          <w:b/>
          <w:bCs/>
          <w:sz w:val="22"/>
          <w:szCs w:val="22"/>
        </w:rPr>
        <w:t>recycling;</w:t>
      </w:r>
      <w:proofErr w:type="gramEnd"/>
    </w:p>
    <w:p w14:paraId="50BC4E5F"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Aluminium cans.</w:t>
      </w:r>
    </w:p>
    <w:p w14:paraId="13F81221"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Shorts contract Dry mixed recycling</w:t>
      </w:r>
    </w:p>
    <w:p w14:paraId="2EDC4019" w14:textId="77777777" w:rsidR="003B3365" w:rsidRPr="003B3365" w:rsidRDefault="003B3365" w:rsidP="003B3365">
      <w:pPr>
        <w:rPr>
          <w:rFonts w:ascii="Calibri" w:hAnsi="Calibri" w:cs="Calibri"/>
          <w:b/>
          <w:bCs/>
          <w:sz w:val="22"/>
          <w:szCs w:val="22"/>
          <w:u w:val="single"/>
        </w:rPr>
      </w:pPr>
      <w:r w:rsidRPr="003B3365">
        <w:rPr>
          <w:rFonts w:ascii="Calibri" w:hAnsi="Calibri" w:cs="Calibri"/>
          <w:b/>
          <w:bCs/>
          <w:sz w:val="22"/>
          <w:szCs w:val="22"/>
          <w:u w:val="single"/>
        </w:rPr>
        <w:t>Schools</w:t>
      </w:r>
    </w:p>
    <w:p w14:paraId="5293DD31"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2022 – 65,425kg</w:t>
      </w:r>
    </w:p>
    <w:p w14:paraId="0D99800A"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2023 – 147,179kg</w:t>
      </w:r>
    </w:p>
    <w:p w14:paraId="54D1ADF0"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2024 – 135,268kg</w:t>
      </w:r>
    </w:p>
    <w:p w14:paraId="0B0AB3C5" w14:textId="77777777" w:rsidR="003B3365" w:rsidRPr="003B3365" w:rsidRDefault="003B3365" w:rsidP="003B3365">
      <w:pPr>
        <w:rPr>
          <w:rFonts w:ascii="Calibri" w:hAnsi="Calibri" w:cs="Calibri"/>
          <w:b/>
          <w:bCs/>
          <w:sz w:val="22"/>
          <w:szCs w:val="22"/>
          <w:u w:val="single"/>
        </w:rPr>
      </w:pPr>
      <w:r w:rsidRPr="003B3365">
        <w:rPr>
          <w:rFonts w:ascii="Calibri" w:hAnsi="Calibri" w:cs="Calibri"/>
          <w:b/>
          <w:bCs/>
          <w:sz w:val="22"/>
          <w:szCs w:val="22"/>
          <w:u w:val="single"/>
        </w:rPr>
        <w:t>Facilities</w:t>
      </w:r>
    </w:p>
    <w:p w14:paraId="349F4F67"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2022 – 9,171kg</w:t>
      </w:r>
    </w:p>
    <w:p w14:paraId="5EB5FD28"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2023 – 16,513kg</w:t>
      </w:r>
    </w:p>
    <w:p w14:paraId="06BDC01A"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2024 – 28,565kg</w:t>
      </w:r>
    </w:p>
    <w:p w14:paraId="387F4D62" w14:textId="77777777" w:rsidR="003B3365" w:rsidRPr="003B3365" w:rsidRDefault="003B3365" w:rsidP="003B3365">
      <w:pPr>
        <w:rPr>
          <w:rFonts w:ascii="Calibri" w:hAnsi="Calibri" w:cs="Calibri"/>
          <w:b/>
          <w:bCs/>
          <w:sz w:val="22"/>
          <w:szCs w:val="22"/>
          <w:u w:val="single"/>
        </w:rPr>
      </w:pPr>
      <w:r w:rsidRPr="003B3365">
        <w:rPr>
          <w:rFonts w:ascii="Calibri" w:hAnsi="Calibri" w:cs="Calibri"/>
          <w:b/>
          <w:bCs/>
          <w:sz w:val="22"/>
          <w:szCs w:val="22"/>
          <w:u w:val="single"/>
        </w:rPr>
        <w:t>Shute End</w:t>
      </w:r>
    </w:p>
    <w:p w14:paraId="06C87B54"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2022 – 564kg</w:t>
      </w:r>
    </w:p>
    <w:p w14:paraId="542FE702"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2023 – 1,086kg</w:t>
      </w:r>
    </w:p>
    <w:p w14:paraId="4CBE18FC"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2024 – 2,087kg</w:t>
      </w:r>
    </w:p>
    <w:p w14:paraId="33D14C8C" w14:textId="2D50B941" w:rsidR="003B3365" w:rsidRPr="003B3365" w:rsidRDefault="003B3365" w:rsidP="003B3365">
      <w:pPr>
        <w:rPr>
          <w:rFonts w:ascii="Calibri" w:hAnsi="Calibri" w:cs="Calibri"/>
          <w:sz w:val="22"/>
          <w:szCs w:val="22"/>
        </w:rPr>
      </w:pPr>
      <w:r w:rsidRPr="003B3365">
        <w:rPr>
          <w:rFonts w:ascii="Calibri" w:hAnsi="Calibri" w:cs="Calibri"/>
          <w:b/>
          <w:bCs/>
          <w:sz w:val="22"/>
          <w:szCs w:val="22"/>
        </w:rPr>
        <w:t>If tonnages are estimated rather than measured, please indicate the method of estimation</w:t>
      </w:r>
      <w:r w:rsidRPr="003B3365">
        <w:rPr>
          <w:rFonts w:ascii="Calibri" w:hAnsi="Calibri" w:cs="Calibri"/>
          <w:sz w:val="22"/>
          <w:szCs w:val="22"/>
        </w:rPr>
        <w:t>: N/A</w:t>
      </w:r>
    </w:p>
    <w:p w14:paraId="60A2DF81" w14:textId="02AB9128" w:rsidR="003B3365" w:rsidRPr="003B3365" w:rsidRDefault="003B3365" w:rsidP="003B3365">
      <w:pPr>
        <w:rPr>
          <w:rFonts w:ascii="Calibri" w:hAnsi="Calibri" w:cs="Calibri"/>
          <w:sz w:val="22"/>
          <w:szCs w:val="22"/>
        </w:rPr>
      </w:pPr>
      <w:r w:rsidRPr="003B3365">
        <w:rPr>
          <w:rFonts w:ascii="Calibri" w:hAnsi="Calibri" w:cs="Calibri"/>
          <w:b/>
          <w:bCs/>
          <w:sz w:val="22"/>
          <w:szCs w:val="22"/>
        </w:rPr>
        <w:t>Can you indicate whether these were collected separately or as part of a co-mingled waste stream. Where possible, can you provide an estimate of the PET plastic content</w:t>
      </w:r>
      <w:r w:rsidRPr="0073360D">
        <w:rPr>
          <w:rFonts w:ascii="Calibri" w:hAnsi="Calibri" w:cs="Calibri"/>
          <w:b/>
          <w:bCs/>
          <w:sz w:val="22"/>
          <w:szCs w:val="22"/>
        </w:rPr>
        <w:t xml:space="preserve">: </w:t>
      </w:r>
      <w:r w:rsidRPr="003B3365">
        <w:rPr>
          <w:rFonts w:ascii="Calibri" w:hAnsi="Calibri" w:cs="Calibri"/>
          <w:sz w:val="22"/>
          <w:szCs w:val="22"/>
        </w:rPr>
        <w:t>co-mingled</w:t>
      </w:r>
    </w:p>
    <w:p w14:paraId="6B517849" w14:textId="44CA9396" w:rsidR="003B3365" w:rsidRPr="0073360D" w:rsidRDefault="003B3365" w:rsidP="003B3365">
      <w:pPr>
        <w:rPr>
          <w:rFonts w:ascii="Calibri" w:hAnsi="Calibri" w:cs="Calibri"/>
          <w:sz w:val="22"/>
          <w:szCs w:val="22"/>
        </w:rPr>
      </w:pPr>
      <w:r w:rsidRPr="003B3365">
        <w:rPr>
          <w:rFonts w:ascii="Calibri" w:hAnsi="Calibri" w:cs="Calibri"/>
          <w:b/>
          <w:bCs/>
          <w:sz w:val="22"/>
          <w:szCs w:val="22"/>
        </w:rPr>
        <w:t>FCC Contract – street cleansing:</w:t>
      </w:r>
      <w:r w:rsidRPr="0073360D">
        <w:rPr>
          <w:rFonts w:ascii="Calibri" w:hAnsi="Calibri" w:cs="Calibri"/>
          <w:b/>
          <w:bCs/>
          <w:sz w:val="22"/>
          <w:szCs w:val="22"/>
        </w:rPr>
        <w:t xml:space="preserve"> </w:t>
      </w:r>
      <w:r w:rsidRPr="0073360D">
        <w:rPr>
          <w:rFonts w:ascii="Calibri" w:hAnsi="Calibri" w:cs="Calibri"/>
          <w:sz w:val="22"/>
          <w:szCs w:val="22"/>
        </w:rPr>
        <w:t>We do not collect any of the items listed separately or co-mingled</w:t>
      </w:r>
    </w:p>
    <w:p w14:paraId="553E25BF" w14:textId="77777777" w:rsidR="003B3365" w:rsidRPr="0073360D" w:rsidRDefault="003B3365" w:rsidP="003B3365">
      <w:pPr>
        <w:rPr>
          <w:rFonts w:ascii="Calibri" w:hAnsi="Calibri" w:cs="Calibri"/>
          <w:sz w:val="22"/>
          <w:szCs w:val="22"/>
        </w:rPr>
      </w:pPr>
    </w:p>
    <w:p w14:paraId="20061984"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3. Contamination and Waste Treatment Outcomes 2021/22 to 2023/2024</w:t>
      </w:r>
    </w:p>
    <w:p w14:paraId="250D9839"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Please can you provide annual contamination rates (gross tonnage and percentage) for plastic bottles, other plastics, dry mixed recycling, and aluminium cans between 2021/22 and 2023/2024 by contractor/facility. If tonnages are estimated rather than measured, please indicate the method of estimation.</w:t>
      </w:r>
    </w:p>
    <w:p w14:paraId="5FAD9A60" w14:textId="6CB170A7" w:rsidR="003B3365" w:rsidRPr="003B3365" w:rsidRDefault="003B3365" w:rsidP="003B3365">
      <w:pPr>
        <w:rPr>
          <w:rFonts w:ascii="Calibri" w:hAnsi="Calibri" w:cs="Calibri"/>
          <w:sz w:val="22"/>
          <w:szCs w:val="22"/>
          <w:u w:val="single"/>
        </w:rPr>
      </w:pPr>
      <w:r w:rsidRPr="003B3365">
        <w:rPr>
          <w:rFonts w:ascii="Calibri" w:hAnsi="Calibri" w:cs="Calibri"/>
          <w:sz w:val="22"/>
          <w:szCs w:val="22"/>
          <w:u w:val="single"/>
        </w:rPr>
        <w:t>Kerbside:</w:t>
      </w:r>
    </w:p>
    <w:p w14:paraId="22082D5E"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The contamination rate for Wokingham Borough Council’s Mixed Dry Recycling (MDR) is assessed via sampling in the Material Recovery Facility (under the Environmental Permitting regulations).</w:t>
      </w:r>
    </w:p>
    <w:p w14:paraId="72EEB99A" w14:textId="2EC1367B" w:rsidR="003B3365" w:rsidRPr="0073360D" w:rsidRDefault="003B3365" w:rsidP="003B3365">
      <w:pPr>
        <w:rPr>
          <w:rFonts w:ascii="Calibri" w:hAnsi="Calibri" w:cs="Calibri"/>
          <w:sz w:val="22"/>
          <w:szCs w:val="22"/>
        </w:rPr>
      </w:pPr>
      <w:r w:rsidRPr="0073360D">
        <w:rPr>
          <w:rFonts w:ascii="Calibri" w:hAnsi="Calibri" w:cs="Calibri"/>
          <w:sz w:val="22"/>
          <w:szCs w:val="22"/>
        </w:rPr>
        <w:t>21/22 – 13.0%</w:t>
      </w:r>
    </w:p>
    <w:p w14:paraId="5ECEFA43"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22/23 – 14.1%</w:t>
      </w:r>
    </w:p>
    <w:p w14:paraId="4563BC53"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23/24 – 17.2%</w:t>
      </w:r>
    </w:p>
    <w:p w14:paraId="1E3C89C8"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The MDR tonnages are as stated at 2A.</w:t>
      </w:r>
    </w:p>
    <w:p w14:paraId="137E7807"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Please also provide the total annual amount (gross and %) of:</w:t>
      </w:r>
    </w:p>
    <w:p w14:paraId="75CF6B1F"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xml:space="preserve">• Plastic waste recycled vs. </w:t>
      </w:r>
      <w:proofErr w:type="gramStart"/>
      <w:r w:rsidRPr="003B3365">
        <w:rPr>
          <w:rFonts w:ascii="Calibri" w:hAnsi="Calibri" w:cs="Calibri"/>
          <w:b/>
          <w:bCs/>
          <w:sz w:val="22"/>
          <w:szCs w:val="22"/>
        </w:rPr>
        <w:t>incinerated;</w:t>
      </w:r>
      <w:proofErr w:type="gramEnd"/>
    </w:p>
    <w:p w14:paraId="314D8883"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xml:space="preserve">• Aluminium waste recycled vs. </w:t>
      </w:r>
      <w:proofErr w:type="gramStart"/>
      <w:r w:rsidRPr="003B3365">
        <w:rPr>
          <w:rFonts w:ascii="Calibri" w:hAnsi="Calibri" w:cs="Calibri"/>
          <w:b/>
          <w:bCs/>
          <w:sz w:val="22"/>
          <w:szCs w:val="22"/>
        </w:rPr>
        <w:t>incinerated;</w:t>
      </w:r>
      <w:proofErr w:type="gramEnd"/>
    </w:p>
    <w:p w14:paraId="067AD3FF" w14:textId="77777777" w:rsidR="003B3365" w:rsidRPr="003B3365" w:rsidRDefault="003B3365" w:rsidP="003B3365">
      <w:pPr>
        <w:rPr>
          <w:rFonts w:ascii="Calibri" w:hAnsi="Calibri" w:cs="Calibri"/>
          <w:b/>
          <w:bCs/>
          <w:sz w:val="22"/>
          <w:szCs w:val="22"/>
        </w:rPr>
      </w:pPr>
      <w:r w:rsidRPr="003B3365">
        <w:rPr>
          <w:rFonts w:ascii="Calibri" w:hAnsi="Calibri" w:cs="Calibri"/>
          <w:b/>
          <w:bCs/>
          <w:sz w:val="22"/>
          <w:szCs w:val="22"/>
        </w:rPr>
        <w:t>• All council-collected waste recycled vs. incinerated.</w:t>
      </w:r>
    </w:p>
    <w:p w14:paraId="3EA21EC4" w14:textId="77777777" w:rsidR="003B3365" w:rsidRPr="003B3365" w:rsidRDefault="003B3365" w:rsidP="003B3365">
      <w:pPr>
        <w:rPr>
          <w:rFonts w:ascii="Calibri" w:hAnsi="Calibri" w:cs="Calibri"/>
          <w:sz w:val="22"/>
          <w:szCs w:val="22"/>
        </w:rPr>
      </w:pPr>
      <w:r w:rsidRPr="003B3365">
        <w:rPr>
          <w:rFonts w:ascii="Calibri" w:hAnsi="Calibri" w:cs="Calibri"/>
          <w:sz w:val="22"/>
          <w:szCs w:val="22"/>
        </w:rPr>
        <w:t>All plastic and aluminium which is successfully retrieved from the Mixed Dry Recycling stream at our Material Recovery Facility is sent for recycling. The tonnages are available via the route described at 2C above.</w:t>
      </w:r>
    </w:p>
    <w:p w14:paraId="019A650B" w14:textId="6C8312FA" w:rsidR="003B3365" w:rsidRPr="0073360D" w:rsidRDefault="003B3365" w:rsidP="003B3365">
      <w:pPr>
        <w:rPr>
          <w:rFonts w:ascii="Calibri" w:hAnsi="Calibri" w:cs="Calibri"/>
          <w:sz w:val="22"/>
          <w:szCs w:val="22"/>
        </w:rPr>
      </w:pPr>
      <w:r w:rsidRPr="0073360D">
        <w:rPr>
          <w:rFonts w:ascii="Calibri" w:hAnsi="Calibri" w:cs="Calibri"/>
          <w:sz w:val="22"/>
          <w:szCs w:val="22"/>
        </w:rPr>
        <w:t>We believe that the question about ‘all council collected waste’ is covered under Exemption 21 of the Freedom of Information Act 2000. The Waste Data Flow raw data report entitled ‘Qu100 PI Summary (UA)’ shows the tonnage and percentage of total household waste by treatment type. (The data on BVPI82a relates to dry recycling and the data on BVPI82c relates to incineration.)</w:t>
      </w:r>
    </w:p>
    <w:p w14:paraId="234AA11D" w14:textId="77777777" w:rsidR="003B3365" w:rsidRPr="0073360D" w:rsidRDefault="003B3365" w:rsidP="003B3365">
      <w:pPr>
        <w:rPr>
          <w:rFonts w:ascii="Calibri" w:hAnsi="Calibri" w:cs="Calibri"/>
          <w:sz w:val="22"/>
          <w:szCs w:val="22"/>
        </w:rPr>
      </w:pPr>
    </w:p>
    <w:p w14:paraId="0113930E"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4. Kerbside and </w:t>
      </w:r>
      <w:proofErr w:type="gramStart"/>
      <w:r w:rsidRPr="0073360D">
        <w:rPr>
          <w:rFonts w:ascii="Calibri" w:hAnsi="Calibri" w:cs="Calibri"/>
          <w:b/>
          <w:bCs/>
          <w:sz w:val="22"/>
          <w:szCs w:val="22"/>
        </w:rPr>
        <w:t>Non Kerbside</w:t>
      </w:r>
      <w:proofErr w:type="gramEnd"/>
      <w:r w:rsidRPr="0073360D">
        <w:rPr>
          <w:rFonts w:ascii="Calibri" w:hAnsi="Calibri" w:cs="Calibri"/>
          <w:b/>
          <w:bCs/>
          <w:sz w:val="22"/>
          <w:szCs w:val="22"/>
        </w:rPr>
        <w:t xml:space="preserve"> collections</w:t>
      </w:r>
    </w:p>
    <w:p w14:paraId="66FD386E"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Please describe your role in kerbside and non-kerbside waste and recycling collections.</w:t>
      </w:r>
    </w:p>
    <w:p w14:paraId="1B6AC495"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For kerbside collections, please include:</w:t>
      </w:r>
    </w:p>
    <w:p w14:paraId="6A04474B" w14:textId="1023309A" w:rsidR="003B3365" w:rsidRPr="0073360D" w:rsidRDefault="003B3365" w:rsidP="003B3365">
      <w:pPr>
        <w:rPr>
          <w:rFonts w:ascii="Calibri" w:hAnsi="Calibri" w:cs="Calibri"/>
          <w:sz w:val="22"/>
          <w:szCs w:val="22"/>
        </w:rPr>
      </w:pPr>
      <w:r w:rsidRPr="0073360D">
        <w:rPr>
          <w:rFonts w:ascii="Calibri" w:hAnsi="Calibri" w:cs="Calibri"/>
          <w:b/>
          <w:bCs/>
          <w:sz w:val="22"/>
          <w:szCs w:val="22"/>
        </w:rPr>
        <w:t>- Whether materials (e.g. plastics, aluminium) are collected separately or co-mingled</w:t>
      </w:r>
      <w:r w:rsidR="0073360D" w:rsidRPr="0073360D">
        <w:rPr>
          <w:rFonts w:ascii="Calibri" w:hAnsi="Calibri" w:cs="Calibri"/>
          <w:b/>
          <w:bCs/>
          <w:sz w:val="22"/>
          <w:szCs w:val="22"/>
        </w:rPr>
        <w:t>:</w:t>
      </w:r>
      <w:r w:rsidRPr="0073360D">
        <w:rPr>
          <w:rFonts w:ascii="Calibri" w:hAnsi="Calibri" w:cs="Calibri"/>
          <w:sz w:val="22"/>
          <w:szCs w:val="22"/>
        </w:rPr>
        <w:t xml:space="preserve"> </w:t>
      </w:r>
      <w:r w:rsidRPr="0073360D">
        <w:rPr>
          <w:rFonts w:ascii="Calibri" w:hAnsi="Calibri" w:cs="Calibri"/>
          <w:sz w:val="22"/>
          <w:szCs w:val="22"/>
        </w:rPr>
        <w:t xml:space="preserve">We collect mixed dry recycling co-mingled – please refer to the website for items we accept </w:t>
      </w:r>
      <w:hyperlink r:id="rId4" w:history="1">
        <w:r w:rsidRPr="0073360D">
          <w:rPr>
            <w:rStyle w:val="Hyperlink"/>
            <w:rFonts w:ascii="Calibri" w:hAnsi="Calibri" w:cs="Calibri"/>
            <w:sz w:val="22"/>
            <w:szCs w:val="22"/>
          </w:rPr>
          <w:t>https://www.wokingham.gov.uk/rubbish-and-recycling/recyclin</w:t>
        </w:r>
        <w:r w:rsidRPr="0073360D">
          <w:rPr>
            <w:rStyle w:val="Hyperlink"/>
            <w:rFonts w:ascii="Calibri" w:hAnsi="Calibri" w:cs="Calibri"/>
            <w:sz w:val="22"/>
            <w:szCs w:val="22"/>
          </w:rPr>
          <w:t>g</w:t>
        </w:r>
      </w:hyperlink>
      <w:r w:rsidRPr="0073360D">
        <w:rPr>
          <w:rFonts w:ascii="Calibri" w:hAnsi="Calibri" w:cs="Calibri"/>
          <w:sz w:val="22"/>
          <w:szCs w:val="22"/>
        </w:rPr>
        <w:t xml:space="preserve"> </w:t>
      </w:r>
    </w:p>
    <w:p w14:paraId="3BBE8C4D" w14:textId="77777777" w:rsidR="003B3365" w:rsidRPr="0073360D" w:rsidRDefault="003B3365" w:rsidP="003B3365">
      <w:pPr>
        <w:rPr>
          <w:rFonts w:ascii="Calibri" w:hAnsi="Calibri" w:cs="Calibri"/>
          <w:sz w:val="22"/>
          <w:szCs w:val="22"/>
        </w:rPr>
      </w:pPr>
      <w:r w:rsidRPr="0073360D">
        <w:rPr>
          <w:rFonts w:ascii="Calibri" w:hAnsi="Calibri" w:cs="Calibri"/>
          <w:b/>
          <w:bCs/>
          <w:sz w:val="22"/>
          <w:szCs w:val="22"/>
        </w:rPr>
        <w:t>- Frequency and method of collection</w:t>
      </w:r>
      <w:r w:rsidRPr="0073360D">
        <w:rPr>
          <w:rFonts w:ascii="Calibri" w:hAnsi="Calibri" w:cs="Calibri"/>
          <w:b/>
          <w:bCs/>
          <w:sz w:val="22"/>
          <w:szCs w:val="22"/>
        </w:rPr>
        <w:t xml:space="preserve">: </w:t>
      </w:r>
      <w:hyperlink r:id="rId5" w:history="1">
        <w:r w:rsidRPr="0073360D">
          <w:rPr>
            <w:rStyle w:val="Hyperlink"/>
            <w:rFonts w:ascii="Calibri" w:hAnsi="Calibri" w:cs="Calibri"/>
            <w:sz w:val="22"/>
            <w:szCs w:val="22"/>
          </w:rPr>
          <w:t>https://www.wokingham.gov.uk/rubbish-and-recyclin</w:t>
        </w:r>
        <w:r w:rsidRPr="0073360D">
          <w:rPr>
            <w:rStyle w:val="Hyperlink"/>
            <w:rFonts w:ascii="Calibri" w:hAnsi="Calibri" w:cs="Calibri"/>
            <w:sz w:val="22"/>
            <w:szCs w:val="22"/>
          </w:rPr>
          <w:t>g</w:t>
        </w:r>
      </w:hyperlink>
      <w:r w:rsidRPr="0073360D">
        <w:rPr>
          <w:rFonts w:ascii="Calibri" w:hAnsi="Calibri" w:cs="Calibri"/>
          <w:sz w:val="22"/>
          <w:szCs w:val="22"/>
        </w:rPr>
        <w:t xml:space="preserve"> </w:t>
      </w:r>
    </w:p>
    <w:p w14:paraId="65B64F84" w14:textId="071BBBCA"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Any recent or planned changes in response to DRS or </w:t>
      </w:r>
      <w:proofErr w:type="gramStart"/>
      <w:r w:rsidRPr="0073360D">
        <w:rPr>
          <w:rFonts w:ascii="Calibri" w:hAnsi="Calibri" w:cs="Calibri"/>
          <w:b/>
          <w:bCs/>
          <w:sz w:val="22"/>
          <w:szCs w:val="22"/>
        </w:rPr>
        <w:t>EPR;</w:t>
      </w:r>
      <w:proofErr w:type="gramEnd"/>
    </w:p>
    <w:p w14:paraId="1E155D43" w14:textId="2F52C728" w:rsidR="003B3365" w:rsidRPr="0073360D" w:rsidRDefault="003B3365" w:rsidP="003B3365">
      <w:pPr>
        <w:rPr>
          <w:rFonts w:ascii="Calibri" w:hAnsi="Calibri" w:cs="Calibri"/>
          <w:sz w:val="22"/>
          <w:szCs w:val="22"/>
        </w:rPr>
      </w:pPr>
      <w:r w:rsidRPr="0073360D">
        <w:rPr>
          <w:rFonts w:ascii="Calibri" w:hAnsi="Calibri" w:cs="Calibri"/>
          <w:b/>
          <w:bCs/>
          <w:sz w:val="22"/>
          <w:szCs w:val="22"/>
        </w:rPr>
        <w:lastRenderedPageBreak/>
        <w:t>- If on-the-go (public space) bins are part of the system, please include them in your description and identify them separately</w:t>
      </w:r>
      <w:r w:rsidRPr="0073360D">
        <w:rPr>
          <w:rFonts w:ascii="Calibri" w:hAnsi="Calibri" w:cs="Calibri"/>
          <w:b/>
          <w:bCs/>
          <w:sz w:val="22"/>
          <w:szCs w:val="22"/>
        </w:rPr>
        <w:t xml:space="preserve">: </w:t>
      </w:r>
      <w:r w:rsidRPr="0073360D">
        <w:rPr>
          <w:rFonts w:ascii="Calibri" w:hAnsi="Calibri" w:cs="Calibri"/>
          <w:sz w:val="22"/>
          <w:szCs w:val="22"/>
        </w:rPr>
        <w:t xml:space="preserve">We do not have any planned changes in response to EPR or DRS </w:t>
      </w:r>
      <w:proofErr w:type="gramStart"/>
      <w:r w:rsidRPr="0073360D">
        <w:rPr>
          <w:rFonts w:ascii="Calibri" w:hAnsi="Calibri" w:cs="Calibri"/>
          <w:sz w:val="22"/>
          <w:szCs w:val="22"/>
        </w:rPr>
        <w:t>at this time</w:t>
      </w:r>
      <w:proofErr w:type="gramEnd"/>
      <w:r w:rsidRPr="0073360D">
        <w:rPr>
          <w:rFonts w:ascii="Calibri" w:hAnsi="Calibri" w:cs="Calibri"/>
          <w:sz w:val="22"/>
          <w:szCs w:val="22"/>
        </w:rPr>
        <w:t>.</w:t>
      </w:r>
    </w:p>
    <w:p w14:paraId="34A792CE"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For non-kerbside collections (e.g. street bins or bins in public buildings), include:</w:t>
      </w:r>
    </w:p>
    <w:p w14:paraId="1BB7BCE8" w14:textId="5D4D1EE9" w:rsidR="003B3365" w:rsidRPr="0073360D" w:rsidRDefault="003B3365" w:rsidP="003B3365">
      <w:pPr>
        <w:tabs>
          <w:tab w:val="center" w:pos="4513"/>
        </w:tabs>
        <w:rPr>
          <w:rFonts w:ascii="Calibri" w:hAnsi="Calibri" w:cs="Calibri"/>
          <w:sz w:val="22"/>
          <w:szCs w:val="22"/>
        </w:rPr>
      </w:pPr>
      <w:r w:rsidRPr="0073360D">
        <w:rPr>
          <w:rFonts w:ascii="Calibri" w:hAnsi="Calibri" w:cs="Calibri"/>
          <w:b/>
          <w:bCs/>
          <w:sz w:val="22"/>
          <w:szCs w:val="22"/>
        </w:rPr>
        <w:t>- Whether separate contracts exist</w:t>
      </w:r>
      <w:r w:rsidRPr="0073360D">
        <w:rPr>
          <w:rFonts w:ascii="Calibri" w:hAnsi="Calibri" w:cs="Calibri"/>
          <w:b/>
          <w:bCs/>
          <w:sz w:val="22"/>
          <w:szCs w:val="22"/>
        </w:rPr>
        <w:t>:</w:t>
      </w:r>
      <w:r w:rsidRPr="0073360D">
        <w:rPr>
          <w:rFonts w:ascii="Calibri" w:hAnsi="Calibri" w:cs="Calibri"/>
          <w:sz w:val="22"/>
          <w:szCs w:val="22"/>
        </w:rPr>
        <w:t xml:space="preserve"> </w:t>
      </w:r>
      <w:r w:rsidRPr="0073360D">
        <w:rPr>
          <w:rFonts w:ascii="Calibri" w:hAnsi="Calibri" w:cs="Calibri"/>
          <w:sz w:val="22"/>
          <w:szCs w:val="22"/>
        </w:rPr>
        <w:t>Please refer to the answer provided in q</w:t>
      </w:r>
      <w:r w:rsidRPr="0073360D">
        <w:rPr>
          <w:rFonts w:ascii="Calibri" w:hAnsi="Calibri" w:cs="Calibri"/>
          <w:sz w:val="22"/>
          <w:szCs w:val="22"/>
        </w:rPr>
        <w:t>uestion 1</w:t>
      </w:r>
    </w:p>
    <w:p w14:paraId="72D6E27A" w14:textId="5D83BE33" w:rsidR="003B3365" w:rsidRPr="0073360D" w:rsidRDefault="003B3365" w:rsidP="003B3365">
      <w:pPr>
        <w:rPr>
          <w:rFonts w:ascii="Calibri" w:hAnsi="Calibri" w:cs="Calibri"/>
          <w:sz w:val="22"/>
          <w:szCs w:val="22"/>
        </w:rPr>
      </w:pPr>
      <w:r w:rsidRPr="0073360D">
        <w:rPr>
          <w:rFonts w:ascii="Calibri" w:hAnsi="Calibri" w:cs="Calibri"/>
          <w:b/>
          <w:bCs/>
          <w:sz w:val="22"/>
          <w:szCs w:val="22"/>
        </w:rPr>
        <w:t>- Materials collected, including plastic and aluminium</w:t>
      </w:r>
      <w:r w:rsidRPr="0073360D">
        <w:rPr>
          <w:rFonts w:ascii="Calibri" w:hAnsi="Calibri" w:cs="Calibri"/>
          <w:b/>
          <w:bCs/>
          <w:sz w:val="22"/>
          <w:szCs w:val="22"/>
        </w:rPr>
        <w:t xml:space="preserve">: </w:t>
      </w:r>
      <w:r w:rsidRPr="0073360D">
        <w:rPr>
          <w:rFonts w:ascii="Calibri" w:hAnsi="Calibri" w:cs="Calibri"/>
          <w:sz w:val="22"/>
          <w:szCs w:val="22"/>
        </w:rPr>
        <w:t>Provided in question 2</w:t>
      </w:r>
    </w:p>
    <w:p w14:paraId="38BB4620" w14:textId="379C3D0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Volumes (2021/2022 – 2023/2024), with percentages and volumes for plastics and aluminium</w:t>
      </w:r>
      <w:r w:rsidRPr="0073360D">
        <w:rPr>
          <w:rFonts w:ascii="Calibri" w:hAnsi="Calibri" w:cs="Calibri"/>
          <w:b/>
          <w:bCs/>
          <w:sz w:val="22"/>
          <w:szCs w:val="22"/>
        </w:rPr>
        <w:t xml:space="preserve">: </w:t>
      </w:r>
      <w:r w:rsidRPr="0073360D">
        <w:rPr>
          <w:rFonts w:ascii="Calibri" w:hAnsi="Calibri" w:cs="Calibri"/>
          <w:sz w:val="22"/>
          <w:szCs w:val="22"/>
        </w:rPr>
        <w:t>Provided in question 2</w:t>
      </w:r>
    </w:p>
    <w:p w14:paraId="037E115F" w14:textId="1F384043"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 </w:t>
      </w:r>
      <w:r w:rsidRPr="0073360D">
        <w:rPr>
          <w:rFonts w:ascii="Calibri" w:hAnsi="Calibri" w:cs="Calibri"/>
          <w:b/>
          <w:bCs/>
          <w:sz w:val="22"/>
          <w:szCs w:val="22"/>
        </w:rPr>
        <w:t>Contract terms and fees structures with contractors</w:t>
      </w:r>
      <w:r w:rsidRPr="0073360D">
        <w:rPr>
          <w:rFonts w:ascii="Calibri" w:hAnsi="Calibri" w:cs="Calibri"/>
          <w:b/>
          <w:bCs/>
          <w:sz w:val="22"/>
          <w:szCs w:val="22"/>
        </w:rPr>
        <w:t xml:space="preserve">: </w:t>
      </w:r>
      <w:r w:rsidRPr="0073360D">
        <w:rPr>
          <w:rFonts w:ascii="Calibri" w:hAnsi="Calibri" w:cs="Calibri"/>
          <w:sz w:val="22"/>
          <w:szCs w:val="22"/>
        </w:rPr>
        <w:t>Provided in question 2</w:t>
      </w:r>
    </w:p>
    <w:p w14:paraId="166D1187" w14:textId="1D82459E"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 xml:space="preserve">- </w:t>
      </w:r>
      <w:r w:rsidRPr="0073360D">
        <w:rPr>
          <w:rFonts w:ascii="Calibri" w:hAnsi="Calibri" w:cs="Calibri"/>
          <w:b/>
          <w:bCs/>
          <w:sz w:val="22"/>
          <w:szCs w:val="22"/>
        </w:rPr>
        <w:t>If tonnages are estimated, please state the method used</w:t>
      </w:r>
      <w:r w:rsidRPr="0073360D">
        <w:rPr>
          <w:rFonts w:ascii="Calibri" w:hAnsi="Calibri" w:cs="Calibri"/>
          <w:b/>
          <w:bCs/>
          <w:sz w:val="22"/>
          <w:szCs w:val="22"/>
        </w:rPr>
        <w:t xml:space="preserve">: </w:t>
      </w:r>
      <w:r w:rsidRPr="0073360D">
        <w:rPr>
          <w:rFonts w:ascii="Calibri" w:hAnsi="Calibri" w:cs="Calibri"/>
          <w:sz w:val="22"/>
          <w:szCs w:val="22"/>
        </w:rPr>
        <w:t>Provided in question 2</w:t>
      </w:r>
    </w:p>
    <w:p w14:paraId="71461B5E" w14:textId="77777777" w:rsidR="003B3365" w:rsidRPr="0073360D" w:rsidRDefault="003B3365" w:rsidP="003B3365">
      <w:pPr>
        <w:rPr>
          <w:rFonts w:ascii="Calibri" w:hAnsi="Calibri" w:cs="Calibri"/>
          <w:sz w:val="22"/>
          <w:szCs w:val="22"/>
        </w:rPr>
      </w:pPr>
    </w:p>
    <w:p w14:paraId="2994CF40" w14:textId="77777777" w:rsidR="003B3365" w:rsidRPr="0073360D" w:rsidRDefault="003B3365" w:rsidP="003B3365">
      <w:pPr>
        <w:rPr>
          <w:rFonts w:ascii="Calibri" w:hAnsi="Calibri" w:cs="Calibri"/>
          <w:b/>
          <w:bCs/>
          <w:sz w:val="22"/>
          <w:szCs w:val="22"/>
        </w:rPr>
      </w:pPr>
      <w:r w:rsidRPr="0073360D">
        <w:rPr>
          <w:rFonts w:ascii="Calibri" w:hAnsi="Calibri" w:cs="Calibri"/>
          <w:b/>
          <w:bCs/>
          <w:sz w:val="22"/>
          <w:szCs w:val="22"/>
        </w:rPr>
        <w:t>5. DRS and EPR Preparations</w:t>
      </w:r>
    </w:p>
    <w:p w14:paraId="3E395EC6" w14:textId="4CDF8585" w:rsidR="00FD6C08" w:rsidRPr="0073360D" w:rsidRDefault="003B3365" w:rsidP="003B3365">
      <w:pPr>
        <w:rPr>
          <w:rFonts w:ascii="Calibri" w:hAnsi="Calibri" w:cs="Calibri"/>
          <w:b/>
          <w:bCs/>
          <w:sz w:val="22"/>
          <w:szCs w:val="22"/>
        </w:rPr>
      </w:pPr>
      <w:r w:rsidRPr="0073360D">
        <w:rPr>
          <w:rFonts w:ascii="Calibri" w:hAnsi="Calibri" w:cs="Calibri"/>
          <w:b/>
          <w:bCs/>
          <w:sz w:val="22"/>
          <w:szCs w:val="22"/>
        </w:rPr>
        <w:t>Please can you provide details of any work undertaken in preparation for the Deposit Return Scheme (DRS) and the Extended Producer Responsibility (EPR). This may include infrastructure investments, installation of reverse vending machines, operational changes, pilot projects, modelling, or public engagement activities.</w:t>
      </w:r>
    </w:p>
    <w:p w14:paraId="6D819A8A" w14:textId="0275A398" w:rsidR="003B3365" w:rsidRPr="0073360D" w:rsidRDefault="003B3365" w:rsidP="003B3365">
      <w:pPr>
        <w:rPr>
          <w:rFonts w:ascii="Calibri" w:hAnsi="Calibri" w:cs="Calibri"/>
          <w:sz w:val="22"/>
          <w:szCs w:val="22"/>
        </w:rPr>
      </w:pPr>
      <w:r w:rsidRPr="0073360D">
        <w:rPr>
          <w:rFonts w:ascii="Calibri" w:hAnsi="Calibri" w:cs="Calibri"/>
          <w:sz w:val="22"/>
          <w:szCs w:val="22"/>
        </w:rPr>
        <w:t>Not applicable</w:t>
      </w:r>
    </w:p>
    <w:sectPr w:rsidR="003B3365" w:rsidRPr="00733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65"/>
    <w:rsid w:val="00084941"/>
    <w:rsid w:val="003B3365"/>
    <w:rsid w:val="0073360D"/>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5117"/>
  <w15:chartTrackingRefBased/>
  <w15:docId w15:val="{DBCB9CF8-179B-44D8-97D0-ABC0871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3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3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3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3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3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3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3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365"/>
    <w:rPr>
      <w:rFonts w:eastAsiaTheme="majorEastAsia" w:cstheme="majorBidi"/>
      <w:color w:val="272727" w:themeColor="text1" w:themeTint="D8"/>
    </w:rPr>
  </w:style>
  <w:style w:type="paragraph" w:styleId="Title">
    <w:name w:val="Title"/>
    <w:basedOn w:val="Normal"/>
    <w:next w:val="Normal"/>
    <w:link w:val="TitleChar"/>
    <w:uiPriority w:val="10"/>
    <w:qFormat/>
    <w:rsid w:val="003B33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3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365"/>
    <w:pPr>
      <w:spacing w:before="160"/>
      <w:jc w:val="center"/>
    </w:pPr>
    <w:rPr>
      <w:i/>
      <w:iCs/>
      <w:color w:val="404040" w:themeColor="text1" w:themeTint="BF"/>
    </w:rPr>
  </w:style>
  <w:style w:type="character" w:customStyle="1" w:styleId="QuoteChar">
    <w:name w:val="Quote Char"/>
    <w:basedOn w:val="DefaultParagraphFont"/>
    <w:link w:val="Quote"/>
    <w:uiPriority w:val="29"/>
    <w:rsid w:val="003B3365"/>
    <w:rPr>
      <w:i/>
      <w:iCs/>
      <w:color w:val="404040" w:themeColor="text1" w:themeTint="BF"/>
    </w:rPr>
  </w:style>
  <w:style w:type="paragraph" w:styleId="ListParagraph">
    <w:name w:val="List Paragraph"/>
    <w:basedOn w:val="Normal"/>
    <w:uiPriority w:val="34"/>
    <w:qFormat/>
    <w:rsid w:val="003B3365"/>
    <w:pPr>
      <w:ind w:left="720"/>
      <w:contextualSpacing/>
    </w:pPr>
  </w:style>
  <w:style w:type="character" w:styleId="IntenseEmphasis">
    <w:name w:val="Intense Emphasis"/>
    <w:basedOn w:val="DefaultParagraphFont"/>
    <w:uiPriority w:val="21"/>
    <w:qFormat/>
    <w:rsid w:val="003B3365"/>
    <w:rPr>
      <w:i/>
      <w:iCs/>
      <w:color w:val="0F4761" w:themeColor="accent1" w:themeShade="BF"/>
    </w:rPr>
  </w:style>
  <w:style w:type="paragraph" w:styleId="IntenseQuote">
    <w:name w:val="Intense Quote"/>
    <w:basedOn w:val="Normal"/>
    <w:next w:val="Normal"/>
    <w:link w:val="IntenseQuoteChar"/>
    <w:uiPriority w:val="30"/>
    <w:qFormat/>
    <w:rsid w:val="003B3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365"/>
    <w:rPr>
      <w:i/>
      <w:iCs/>
      <w:color w:val="0F4761" w:themeColor="accent1" w:themeShade="BF"/>
    </w:rPr>
  </w:style>
  <w:style w:type="character" w:styleId="IntenseReference">
    <w:name w:val="Intense Reference"/>
    <w:basedOn w:val="DefaultParagraphFont"/>
    <w:uiPriority w:val="32"/>
    <w:qFormat/>
    <w:rsid w:val="003B3365"/>
    <w:rPr>
      <w:b/>
      <w:bCs/>
      <w:smallCaps/>
      <w:color w:val="0F4761" w:themeColor="accent1" w:themeShade="BF"/>
      <w:spacing w:val="5"/>
    </w:rPr>
  </w:style>
  <w:style w:type="character" w:styleId="Hyperlink">
    <w:name w:val="Hyperlink"/>
    <w:basedOn w:val="DefaultParagraphFont"/>
    <w:uiPriority w:val="99"/>
    <w:unhideWhenUsed/>
    <w:rsid w:val="003B3365"/>
    <w:rPr>
      <w:color w:val="467886" w:themeColor="hyperlink"/>
      <w:u w:val="single"/>
    </w:rPr>
  </w:style>
  <w:style w:type="character" w:styleId="UnresolvedMention">
    <w:name w:val="Unresolved Mention"/>
    <w:basedOn w:val="DefaultParagraphFont"/>
    <w:uiPriority w:val="99"/>
    <w:semiHidden/>
    <w:unhideWhenUsed/>
    <w:rsid w:val="003B3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0150">
      <w:bodyDiv w:val="1"/>
      <w:marLeft w:val="0"/>
      <w:marRight w:val="0"/>
      <w:marTop w:val="0"/>
      <w:marBottom w:val="0"/>
      <w:divBdr>
        <w:top w:val="none" w:sz="0" w:space="0" w:color="auto"/>
        <w:left w:val="none" w:sz="0" w:space="0" w:color="auto"/>
        <w:bottom w:val="none" w:sz="0" w:space="0" w:color="auto"/>
        <w:right w:val="none" w:sz="0" w:space="0" w:color="auto"/>
      </w:divBdr>
    </w:div>
    <w:div w:id="121384362">
      <w:bodyDiv w:val="1"/>
      <w:marLeft w:val="0"/>
      <w:marRight w:val="0"/>
      <w:marTop w:val="0"/>
      <w:marBottom w:val="0"/>
      <w:divBdr>
        <w:top w:val="none" w:sz="0" w:space="0" w:color="auto"/>
        <w:left w:val="none" w:sz="0" w:space="0" w:color="auto"/>
        <w:bottom w:val="none" w:sz="0" w:space="0" w:color="auto"/>
        <w:right w:val="none" w:sz="0" w:space="0" w:color="auto"/>
      </w:divBdr>
    </w:div>
    <w:div w:id="124661573">
      <w:bodyDiv w:val="1"/>
      <w:marLeft w:val="0"/>
      <w:marRight w:val="0"/>
      <w:marTop w:val="0"/>
      <w:marBottom w:val="0"/>
      <w:divBdr>
        <w:top w:val="none" w:sz="0" w:space="0" w:color="auto"/>
        <w:left w:val="none" w:sz="0" w:space="0" w:color="auto"/>
        <w:bottom w:val="none" w:sz="0" w:space="0" w:color="auto"/>
        <w:right w:val="none" w:sz="0" w:space="0" w:color="auto"/>
      </w:divBdr>
    </w:div>
    <w:div w:id="241453769">
      <w:bodyDiv w:val="1"/>
      <w:marLeft w:val="0"/>
      <w:marRight w:val="0"/>
      <w:marTop w:val="0"/>
      <w:marBottom w:val="0"/>
      <w:divBdr>
        <w:top w:val="none" w:sz="0" w:space="0" w:color="auto"/>
        <w:left w:val="none" w:sz="0" w:space="0" w:color="auto"/>
        <w:bottom w:val="none" w:sz="0" w:space="0" w:color="auto"/>
        <w:right w:val="none" w:sz="0" w:space="0" w:color="auto"/>
      </w:divBdr>
    </w:div>
    <w:div w:id="458453631">
      <w:bodyDiv w:val="1"/>
      <w:marLeft w:val="0"/>
      <w:marRight w:val="0"/>
      <w:marTop w:val="0"/>
      <w:marBottom w:val="0"/>
      <w:divBdr>
        <w:top w:val="none" w:sz="0" w:space="0" w:color="auto"/>
        <w:left w:val="none" w:sz="0" w:space="0" w:color="auto"/>
        <w:bottom w:val="none" w:sz="0" w:space="0" w:color="auto"/>
        <w:right w:val="none" w:sz="0" w:space="0" w:color="auto"/>
      </w:divBdr>
    </w:div>
    <w:div w:id="700856824">
      <w:bodyDiv w:val="1"/>
      <w:marLeft w:val="0"/>
      <w:marRight w:val="0"/>
      <w:marTop w:val="0"/>
      <w:marBottom w:val="0"/>
      <w:divBdr>
        <w:top w:val="none" w:sz="0" w:space="0" w:color="auto"/>
        <w:left w:val="none" w:sz="0" w:space="0" w:color="auto"/>
        <w:bottom w:val="none" w:sz="0" w:space="0" w:color="auto"/>
        <w:right w:val="none" w:sz="0" w:space="0" w:color="auto"/>
      </w:divBdr>
    </w:div>
    <w:div w:id="769397250">
      <w:bodyDiv w:val="1"/>
      <w:marLeft w:val="0"/>
      <w:marRight w:val="0"/>
      <w:marTop w:val="0"/>
      <w:marBottom w:val="0"/>
      <w:divBdr>
        <w:top w:val="none" w:sz="0" w:space="0" w:color="auto"/>
        <w:left w:val="none" w:sz="0" w:space="0" w:color="auto"/>
        <w:bottom w:val="none" w:sz="0" w:space="0" w:color="auto"/>
        <w:right w:val="none" w:sz="0" w:space="0" w:color="auto"/>
      </w:divBdr>
    </w:div>
    <w:div w:id="877856656">
      <w:bodyDiv w:val="1"/>
      <w:marLeft w:val="0"/>
      <w:marRight w:val="0"/>
      <w:marTop w:val="0"/>
      <w:marBottom w:val="0"/>
      <w:divBdr>
        <w:top w:val="none" w:sz="0" w:space="0" w:color="auto"/>
        <w:left w:val="none" w:sz="0" w:space="0" w:color="auto"/>
        <w:bottom w:val="none" w:sz="0" w:space="0" w:color="auto"/>
        <w:right w:val="none" w:sz="0" w:space="0" w:color="auto"/>
      </w:divBdr>
    </w:div>
    <w:div w:id="1142499982">
      <w:bodyDiv w:val="1"/>
      <w:marLeft w:val="0"/>
      <w:marRight w:val="0"/>
      <w:marTop w:val="0"/>
      <w:marBottom w:val="0"/>
      <w:divBdr>
        <w:top w:val="none" w:sz="0" w:space="0" w:color="auto"/>
        <w:left w:val="none" w:sz="0" w:space="0" w:color="auto"/>
        <w:bottom w:val="none" w:sz="0" w:space="0" w:color="auto"/>
        <w:right w:val="none" w:sz="0" w:space="0" w:color="auto"/>
      </w:divBdr>
    </w:div>
    <w:div w:id="1549106586">
      <w:bodyDiv w:val="1"/>
      <w:marLeft w:val="0"/>
      <w:marRight w:val="0"/>
      <w:marTop w:val="0"/>
      <w:marBottom w:val="0"/>
      <w:divBdr>
        <w:top w:val="none" w:sz="0" w:space="0" w:color="auto"/>
        <w:left w:val="none" w:sz="0" w:space="0" w:color="auto"/>
        <w:bottom w:val="none" w:sz="0" w:space="0" w:color="auto"/>
        <w:right w:val="none" w:sz="0" w:space="0" w:color="auto"/>
      </w:divBdr>
    </w:div>
    <w:div w:id="1834761940">
      <w:bodyDiv w:val="1"/>
      <w:marLeft w:val="0"/>
      <w:marRight w:val="0"/>
      <w:marTop w:val="0"/>
      <w:marBottom w:val="0"/>
      <w:divBdr>
        <w:top w:val="none" w:sz="0" w:space="0" w:color="auto"/>
        <w:left w:val="none" w:sz="0" w:space="0" w:color="auto"/>
        <w:bottom w:val="none" w:sz="0" w:space="0" w:color="auto"/>
        <w:right w:val="none" w:sz="0" w:space="0" w:color="auto"/>
      </w:divBdr>
    </w:div>
    <w:div w:id="20664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kingham.gov.uk/rubbish-and-recycling" TargetMode="External"/><Relationship Id="rId4" Type="http://schemas.openxmlformats.org/officeDocument/2006/relationships/hyperlink" Target="https://www.wokingham.gov.uk/rubbish-and-recycling/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2025-06-24T10:38:00Z</dcterms:created>
  <dcterms:modified xsi:type="dcterms:W3CDTF">2025-06-24T10:55:00Z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2025-06-24T10:55:10Z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7ca8e282-0803-47bf-b86d-e9b585bcdeb6</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