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7C2D" w14:textId="41BAA069" w:rsidR="00B65B0B" w:rsidRPr="007C7368" w:rsidRDefault="007C7368" w:rsidP="007C7368">
      <w:pPr>
        <w:jc w:val="center"/>
        <w:rPr>
          <w:rFonts w:ascii="Calibri" w:hAnsi="Calibri" w:cs="Calibri"/>
          <w:b/>
          <w:bCs/>
          <w:u w:val="single"/>
        </w:rPr>
      </w:pPr>
      <w:r w:rsidRPr="007C7368">
        <w:rPr>
          <w:rFonts w:ascii="Calibri" w:hAnsi="Calibri" w:cs="Calibri"/>
          <w:b/>
          <w:bCs/>
          <w:u w:val="single"/>
        </w:rPr>
        <w:t>WBCIR:1</w:t>
      </w:r>
      <w:r w:rsidR="00B65B0B" w:rsidRPr="007C7368">
        <w:rPr>
          <w:rFonts w:ascii="Calibri" w:hAnsi="Calibri" w:cs="Calibri"/>
          <w:b/>
          <w:bCs/>
          <w:u w:val="single"/>
        </w:rPr>
        <w:t>9986</w:t>
      </w:r>
    </w:p>
    <w:p w14:paraId="774F223D" w14:textId="225C8206" w:rsidR="00B65B0B" w:rsidRPr="007C7368" w:rsidRDefault="007C7368" w:rsidP="007C7368">
      <w:pPr>
        <w:rPr>
          <w:rFonts w:ascii="Calibri" w:hAnsi="Calibri" w:cs="Calibri"/>
          <w:b/>
          <w:bCs/>
        </w:rPr>
      </w:pPr>
      <w:r w:rsidRPr="007C7368">
        <w:rPr>
          <w:rFonts w:ascii="Calibri" w:hAnsi="Calibri" w:cs="Calibri"/>
          <w:b/>
          <w:bCs/>
        </w:rPr>
        <w:t xml:space="preserve">1. </w:t>
      </w:r>
      <w:r w:rsidR="00B65B0B" w:rsidRPr="007C7368">
        <w:rPr>
          <w:rFonts w:ascii="Calibri" w:hAnsi="Calibri" w:cs="Calibri"/>
          <w:b/>
          <w:bCs/>
        </w:rPr>
        <w:t>The number of rental properties you maintain:</w:t>
      </w:r>
      <w:r w:rsidR="008E582F" w:rsidRPr="007C7368">
        <w:rPr>
          <w:rFonts w:ascii="Calibri" w:hAnsi="Calibri" w:cs="Calibri"/>
          <w:b/>
          <w:bCs/>
        </w:rPr>
        <w:t xml:space="preserve"> </w:t>
      </w:r>
      <w:r w:rsidR="008E582F" w:rsidRPr="007C7368">
        <w:rPr>
          <w:rFonts w:ascii="Calibri" w:hAnsi="Calibri" w:cs="Calibri"/>
        </w:rPr>
        <w:t>3025</w:t>
      </w:r>
    </w:p>
    <w:p w14:paraId="7FCCA4E4" w14:textId="77777777" w:rsidR="008E582F" w:rsidRPr="007C7368" w:rsidRDefault="008E582F" w:rsidP="00B65B0B">
      <w:pPr>
        <w:rPr>
          <w:rFonts w:ascii="Calibri" w:hAnsi="Calibri" w:cs="Calibri"/>
        </w:rPr>
      </w:pPr>
      <w:r w:rsidRPr="007C7368">
        <w:rPr>
          <w:rFonts w:ascii="Calibri" w:hAnsi="Calibri" w:cs="Calibri"/>
        </w:rPr>
        <w:t>Please note that this includes Housing Revenue Account properties, Gypsy, Roma, Traveller (GRT) site accommodation, Specialist Housing (including specific temporary accommodation schemes), Local Housing Companies (WBC owned Housing Associations) and temporary accommodation.</w:t>
      </w:r>
    </w:p>
    <w:p w14:paraId="2E9078A4" w14:textId="6BA04D91" w:rsidR="00B65B0B" w:rsidRPr="007C7368" w:rsidRDefault="00B65B0B" w:rsidP="00B65B0B">
      <w:pPr>
        <w:rPr>
          <w:rFonts w:ascii="Calibri" w:hAnsi="Calibri" w:cs="Calibri"/>
        </w:rPr>
      </w:pPr>
      <w:r w:rsidRPr="007C7368">
        <w:rPr>
          <w:rFonts w:ascii="Calibri" w:hAnsi="Calibri" w:cs="Calibri"/>
          <w:b/>
          <w:bCs/>
        </w:rPr>
        <w:br/>
        <w:t>2. Number and nature of complaints you get from tenant(s)</w:t>
      </w:r>
    </w:p>
    <w:p w14:paraId="1095CAF0" w14:textId="0BE42B55" w:rsidR="001C0CC6" w:rsidRPr="007C7368" w:rsidRDefault="001C0CC6" w:rsidP="00B65B0B">
      <w:pPr>
        <w:rPr>
          <w:rFonts w:ascii="Calibri" w:hAnsi="Calibri" w:cs="Calibri"/>
        </w:rPr>
      </w:pPr>
      <w:r w:rsidRPr="007C7368">
        <w:rPr>
          <w:rFonts w:ascii="Calibri" w:hAnsi="Calibri" w:cs="Calibri"/>
        </w:rPr>
        <w:t>Stage 1</w:t>
      </w:r>
      <w:r w:rsidR="007C7368" w:rsidRPr="007C7368">
        <w:rPr>
          <w:rFonts w:ascii="Calibri" w:hAnsi="Calibri" w:cs="Calibri"/>
        </w:rPr>
        <w:t>:</w:t>
      </w:r>
      <w:r w:rsidRPr="007C7368">
        <w:rPr>
          <w:rFonts w:ascii="Calibri" w:hAnsi="Calibri" w:cs="Calibri"/>
        </w:rPr>
        <w:t xml:space="preserve"> 124</w:t>
      </w:r>
    </w:p>
    <w:p w14:paraId="1C6A3545" w14:textId="3C34B304" w:rsidR="001C0CC6" w:rsidRPr="007C7368" w:rsidRDefault="001C0CC6" w:rsidP="00B65B0B">
      <w:pPr>
        <w:rPr>
          <w:rFonts w:ascii="Calibri" w:hAnsi="Calibri" w:cs="Calibri"/>
        </w:rPr>
      </w:pPr>
      <w:r w:rsidRPr="007C7368">
        <w:rPr>
          <w:rFonts w:ascii="Calibri" w:hAnsi="Calibri" w:cs="Calibri"/>
        </w:rPr>
        <w:t>Stage 2</w:t>
      </w:r>
      <w:r w:rsidR="007C7368" w:rsidRPr="007C7368">
        <w:rPr>
          <w:rFonts w:ascii="Calibri" w:hAnsi="Calibri" w:cs="Calibri"/>
        </w:rPr>
        <w:t>:</w:t>
      </w:r>
      <w:r w:rsidRPr="007C7368">
        <w:rPr>
          <w:rFonts w:ascii="Calibri" w:hAnsi="Calibri" w:cs="Calibri"/>
        </w:rPr>
        <w:t xml:space="preserve"> 30</w:t>
      </w:r>
    </w:p>
    <w:p w14:paraId="254860E1" w14:textId="166A9728" w:rsidR="001C0CC6" w:rsidRPr="007C7368" w:rsidRDefault="001C0CC6" w:rsidP="00B65B0B">
      <w:pPr>
        <w:rPr>
          <w:rFonts w:ascii="Calibri" w:hAnsi="Calibri" w:cs="Calibri"/>
        </w:rPr>
      </w:pPr>
      <w:r w:rsidRPr="007C7368">
        <w:rPr>
          <w:rFonts w:ascii="Calibri" w:hAnsi="Calibri" w:cs="Calibri"/>
        </w:rPr>
        <w:t>Tenant Panel</w:t>
      </w:r>
      <w:r w:rsidR="007C7368" w:rsidRPr="007C7368">
        <w:rPr>
          <w:rFonts w:ascii="Calibri" w:hAnsi="Calibri" w:cs="Calibri"/>
        </w:rPr>
        <w:t>:</w:t>
      </w:r>
      <w:r w:rsidRPr="007C7368">
        <w:rPr>
          <w:rFonts w:ascii="Calibri" w:hAnsi="Calibri" w:cs="Calibri"/>
        </w:rPr>
        <w:t xml:space="preserve"> 4</w:t>
      </w:r>
    </w:p>
    <w:p w14:paraId="4C753F4B" w14:textId="3838E05A" w:rsidR="001C0CC6" w:rsidRPr="007C7368" w:rsidRDefault="001C0CC6" w:rsidP="00B65B0B">
      <w:pPr>
        <w:rPr>
          <w:rFonts w:ascii="Calibri" w:hAnsi="Calibri" w:cs="Calibri"/>
        </w:rPr>
      </w:pPr>
      <w:r w:rsidRPr="007C7368">
        <w:rPr>
          <w:rFonts w:ascii="Calibri" w:hAnsi="Calibri" w:cs="Calibri"/>
        </w:rPr>
        <w:t>LGSCO</w:t>
      </w:r>
      <w:r w:rsidR="007C7368" w:rsidRPr="007C7368">
        <w:rPr>
          <w:rFonts w:ascii="Calibri" w:hAnsi="Calibri" w:cs="Calibri"/>
        </w:rPr>
        <w:t>:</w:t>
      </w:r>
      <w:r w:rsidRPr="007C7368">
        <w:rPr>
          <w:rFonts w:ascii="Calibri" w:hAnsi="Calibri" w:cs="Calibri"/>
        </w:rPr>
        <w:t xml:space="preserve"> 4</w:t>
      </w:r>
    </w:p>
    <w:p w14:paraId="6AD22833" w14:textId="39D794FF" w:rsidR="008E582F" w:rsidRPr="007C7368" w:rsidRDefault="001C0CC6" w:rsidP="00B65B0B">
      <w:pPr>
        <w:rPr>
          <w:rFonts w:ascii="Calibri" w:hAnsi="Calibri" w:cs="Calibri"/>
        </w:rPr>
      </w:pPr>
      <w:r w:rsidRPr="007C7368">
        <w:rPr>
          <w:rFonts w:ascii="Calibri" w:hAnsi="Calibri" w:cs="Calibri"/>
        </w:rPr>
        <w:t>Housing Omb</w:t>
      </w:r>
      <w:r w:rsidR="008E582F" w:rsidRPr="007C7368">
        <w:rPr>
          <w:rFonts w:ascii="Calibri" w:hAnsi="Calibri" w:cs="Calibri"/>
        </w:rPr>
        <w:t>u</w:t>
      </w:r>
      <w:r w:rsidRPr="007C7368">
        <w:rPr>
          <w:rFonts w:ascii="Calibri" w:hAnsi="Calibri" w:cs="Calibri"/>
        </w:rPr>
        <w:t>dsman</w:t>
      </w:r>
      <w:r w:rsidR="007C7368" w:rsidRPr="007C7368">
        <w:rPr>
          <w:rFonts w:ascii="Calibri" w:hAnsi="Calibri" w:cs="Calibri"/>
        </w:rPr>
        <w:t>:</w:t>
      </w:r>
      <w:r w:rsidRPr="007C7368">
        <w:rPr>
          <w:rFonts w:ascii="Calibri" w:hAnsi="Calibri" w:cs="Calibri"/>
        </w:rPr>
        <w:t xml:space="preserve"> 7</w:t>
      </w:r>
    </w:p>
    <w:tbl>
      <w:tblPr>
        <w:tblW w:w="907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71"/>
        <w:gridCol w:w="1701"/>
      </w:tblGrid>
      <w:tr w:rsidR="001C0CC6" w:rsidRPr="007C7368" w14:paraId="147F6EBE" w14:textId="77777777" w:rsidTr="001C0CC6">
        <w:trPr>
          <w:tblCellSpacing w:w="15" w:type="dxa"/>
        </w:trPr>
        <w:tc>
          <w:tcPr>
            <w:tcW w:w="7326" w:type="dxa"/>
            <w:vAlign w:val="center"/>
            <w:hideMark/>
          </w:tcPr>
          <w:p w14:paraId="40C2BC7F" w14:textId="77777777" w:rsidR="001C0CC6" w:rsidRPr="007C7368" w:rsidRDefault="001C0CC6" w:rsidP="001C0CC6">
            <w:pPr>
              <w:rPr>
                <w:rFonts w:ascii="Calibri" w:hAnsi="Calibri" w:cs="Calibri"/>
                <w:b/>
                <w:bCs/>
              </w:rPr>
            </w:pPr>
            <w:r w:rsidRPr="007C7368">
              <w:rPr>
                <w:rFonts w:ascii="Calibri" w:hAnsi="Calibri" w:cs="Calibri"/>
                <w:b/>
                <w:bCs/>
              </w:rPr>
              <w:t>NATURE OF COMPLAINT</w:t>
            </w:r>
          </w:p>
        </w:tc>
        <w:tc>
          <w:tcPr>
            <w:tcW w:w="1656" w:type="dxa"/>
            <w:vAlign w:val="center"/>
            <w:hideMark/>
          </w:tcPr>
          <w:p w14:paraId="09C638D8" w14:textId="77777777" w:rsidR="001C0CC6" w:rsidRPr="007C7368" w:rsidRDefault="001C0CC6" w:rsidP="007C7368">
            <w:pPr>
              <w:jc w:val="center"/>
              <w:rPr>
                <w:rFonts w:ascii="Calibri" w:hAnsi="Calibri" w:cs="Calibri"/>
                <w:b/>
                <w:bCs/>
              </w:rPr>
            </w:pPr>
            <w:r w:rsidRPr="007C7368">
              <w:rPr>
                <w:rFonts w:ascii="Calibri" w:hAnsi="Calibri" w:cs="Calibri"/>
                <w:b/>
                <w:bCs/>
              </w:rPr>
              <w:t>VOLUME</w:t>
            </w:r>
          </w:p>
        </w:tc>
      </w:tr>
      <w:tr w:rsidR="001C0CC6" w:rsidRPr="007C7368" w14:paraId="2F72E2C2" w14:textId="77777777" w:rsidTr="001C0CC6">
        <w:trPr>
          <w:tblCellSpacing w:w="15" w:type="dxa"/>
        </w:trPr>
        <w:tc>
          <w:tcPr>
            <w:tcW w:w="7326" w:type="dxa"/>
            <w:vAlign w:val="center"/>
            <w:hideMark/>
          </w:tcPr>
          <w:p w14:paraId="77C8324E" w14:textId="0667356E" w:rsidR="001C0CC6" w:rsidRPr="007C7368" w:rsidRDefault="001C0CC6" w:rsidP="001C0CC6">
            <w:pPr>
              <w:rPr>
                <w:rFonts w:ascii="Calibri" w:hAnsi="Calibri" w:cs="Calibri"/>
                <w:b/>
                <w:bCs/>
              </w:rPr>
            </w:pPr>
            <w:r w:rsidRPr="007C7368">
              <w:rPr>
                <w:rFonts w:ascii="Calibri" w:hAnsi="Calibri" w:cs="Calibri"/>
                <w:b/>
                <w:bCs/>
              </w:rPr>
              <w:t>Decision</w:t>
            </w:r>
          </w:p>
        </w:tc>
        <w:tc>
          <w:tcPr>
            <w:tcW w:w="1656" w:type="dxa"/>
            <w:vAlign w:val="center"/>
            <w:hideMark/>
          </w:tcPr>
          <w:p w14:paraId="44F96A61" w14:textId="7810B748" w:rsidR="001C0CC6" w:rsidRPr="007C7368" w:rsidRDefault="001C0CC6" w:rsidP="007C7368">
            <w:pPr>
              <w:jc w:val="center"/>
              <w:rPr>
                <w:rFonts w:ascii="Calibri" w:hAnsi="Calibri" w:cs="Calibri"/>
              </w:rPr>
            </w:pPr>
            <w:r w:rsidRPr="007C7368">
              <w:rPr>
                <w:rFonts w:ascii="Calibri" w:hAnsi="Calibri" w:cs="Calibri"/>
              </w:rPr>
              <w:t>11</w:t>
            </w:r>
          </w:p>
        </w:tc>
      </w:tr>
      <w:tr w:rsidR="001C0CC6" w:rsidRPr="007C7368" w14:paraId="56524B96" w14:textId="77777777" w:rsidTr="001C0CC6">
        <w:trPr>
          <w:tblCellSpacing w:w="15" w:type="dxa"/>
        </w:trPr>
        <w:tc>
          <w:tcPr>
            <w:tcW w:w="7326" w:type="dxa"/>
            <w:vAlign w:val="center"/>
            <w:hideMark/>
          </w:tcPr>
          <w:p w14:paraId="6571E5F2" w14:textId="77777777" w:rsidR="001C0CC6" w:rsidRPr="007C7368" w:rsidRDefault="001C0CC6" w:rsidP="001C0CC6">
            <w:pPr>
              <w:rPr>
                <w:rFonts w:ascii="Calibri" w:hAnsi="Calibri" w:cs="Calibri"/>
                <w:b/>
                <w:bCs/>
              </w:rPr>
            </w:pPr>
            <w:r w:rsidRPr="007C7368">
              <w:rPr>
                <w:rFonts w:ascii="Calibri" w:hAnsi="Calibri" w:cs="Calibri"/>
                <w:b/>
                <w:bCs/>
              </w:rPr>
              <w:t>Inadequate communication</w:t>
            </w:r>
          </w:p>
        </w:tc>
        <w:tc>
          <w:tcPr>
            <w:tcW w:w="1656" w:type="dxa"/>
            <w:vAlign w:val="center"/>
            <w:hideMark/>
          </w:tcPr>
          <w:p w14:paraId="5FA19EB4" w14:textId="1D88C81B" w:rsidR="001C0CC6" w:rsidRPr="007C7368" w:rsidRDefault="001C0CC6" w:rsidP="007C7368">
            <w:pPr>
              <w:jc w:val="center"/>
              <w:rPr>
                <w:rFonts w:ascii="Calibri" w:hAnsi="Calibri" w:cs="Calibri"/>
              </w:rPr>
            </w:pPr>
            <w:r w:rsidRPr="007C7368">
              <w:rPr>
                <w:rFonts w:ascii="Calibri" w:hAnsi="Calibri" w:cs="Calibri"/>
              </w:rPr>
              <w:t>28</w:t>
            </w:r>
          </w:p>
        </w:tc>
      </w:tr>
      <w:tr w:rsidR="001C0CC6" w:rsidRPr="007C7368" w14:paraId="5349E245" w14:textId="77777777" w:rsidTr="001C0CC6">
        <w:trPr>
          <w:tblCellSpacing w:w="15" w:type="dxa"/>
        </w:trPr>
        <w:tc>
          <w:tcPr>
            <w:tcW w:w="7326" w:type="dxa"/>
            <w:vAlign w:val="center"/>
            <w:hideMark/>
          </w:tcPr>
          <w:p w14:paraId="2E2A9E6C" w14:textId="77777777" w:rsidR="001C0CC6" w:rsidRPr="007C7368" w:rsidRDefault="001C0CC6" w:rsidP="001C0CC6">
            <w:pPr>
              <w:rPr>
                <w:rFonts w:ascii="Calibri" w:hAnsi="Calibri" w:cs="Calibri"/>
                <w:b/>
                <w:bCs/>
              </w:rPr>
            </w:pPr>
            <w:r w:rsidRPr="007C7368">
              <w:rPr>
                <w:rFonts w:ascii="Calibri" w:hAnsi="Calibri" w:cs="Calibri"/>
                <w:b/>
                <w:bCs/>
              </w:rPr>
              <w:t>Lack of Action</w:t>
            </w:r>
          </w:p>
        </w:tc>
        <w:tc>
          <w:tcPr>
            <w:tcW w:w="1656" w:type="dxa"/>
            <w:vAlign w:val="center"/>
            <w:hideMark/>
          </w:tcPr>
          <w:p w14:paraId="5A28336E" w14:textId="63EF29F8" w:rsidR="001C0CC6" w:rsidRPr="007C7368" w:rsidRDefault="001C0CC6" w:rsidP="007C7368">
            <w:pPr>
              <w:jc w:val="center"/>
              <w:rPr>
                <w:rFonts w:ascii="Calibri" w:hAnsi="Calibri" w:cs="Calibri"/>
              </w:rPr>
            </w:pPr>
            <w:r w:rsidRPr="007C7368">
              <w:rPr>
                <w:rFonts w:ascii="Calibri" w:hAnsi="Calibri" w:cs="Calibri"/>
              </w:rPr>
              <w:t>36</w:t>
            </w:r>
          </w:p>
        </w:tc>
      </w:tr>
      <w:tr w:rsidR="001C0CC6" w:rsidRPr="007C7368" w14:paraId="73757712" w14:textId="77777777" w:rsidTr="001C0CC6">
        <w:trPr>
          <w:tblCellSpacing w:w="15" w:type="dxa"/>
        </w:trPr>
        <w:tc>
          <w:tcPr>
            <w:tcW w:w="7326" w:type="dxa"/>
            <w:vAlign w:val="center"/>
            <w:hideMark/>
          </w:tcPr>
          <w:p w14:paraId="547A4CB4" w14:textId="77777777" w:rsidR="001C0CC6" w:rsidRPr="007C7368" w:rsidRDefault="001C0CC6" w:rsidP="001C0CC6">
            <w:pPr>
              <w:rPr>
                <w:rFonts w:ascii="Calibri" w:hAnsi="Calibri" w:cs="Calibri"/>
                <w:b/>
                <w:bCs/>
              </w:rPr>
            </w:pPr>
            <w:r w:rsidRPr="007C7368">
              <w:rPr>
                <w:rFonts w:ascii="Calibri" w:hAnsi="Calibri" w:cs="Calibri"/>
                <w:b/>
                <w:bCs/>
              </w:rPr>
              <w:t>Service delay/Inadequate Service</w:t>
            </w:r>
          </w:p>
        </w:tc>
        <w:tc>
          <w:tcPr>
            <w:tcW w:w="1656" w:type="dxa"/>
            <w:vAlign w:val="center"/>
            <w:hideMark/>
          </w:tcPr>
          <w:p w14:paraId="34D89268" w14:textId="66C0617C" w:rsidR="001C0CC6" w:rsidRPr="007C7368" w:rsidRDefault="001C0CC6" w:rsidP="007C7368">
            <w:pPr>
              <w:jc w:val="center"/>
              <w:rPr>
                <w:rFonts w:ascii="Calibri" w:hAnsi="Calibri" w:cs="Calibri"/>
              </w:rPr>
            </w:pPr>
            <w:r w:rsidRPr="007C7368">
              <w:rPr>
                <w:rFonts w:ascii="Calibri" w:hAnsi="Calibri" w:cs="Calibri"/>
              </w:rPr>
              <w:t>70</w:t>
            </w:r>
          </w:p>
        </w:tc>
      </w:tr>
      <w:tr w:rsidR="001C0CC6" w:rsidRPr="007C7368" w14:paraId="3131D7E8" w14:textId="77777777" w:rsidTr="001C0CC6">
        <w:trPr>
          <w:tblCellSpacing w:w="15" w:type="dxa"/>
        </w:trPr>
        <w:tc>
          <w:tcPr>
            <w:tcW w:w="7326" w:type="dxa"/>
            <w:vAlign w:val="center"/>
            <w:hideMark/>
          </w:tcPr>
          <w:p w14:paraId="7C65DED4" w14:textId="77777777" w:rsidR="001C0CC6" w:rsidRPr="007C7368" w:rsidRDefault="001C0CC6" w:rsidP="001C0CC6">
            <w:pPr>
              <w:rPr>
                <w:rFonts w:ascii="Calibri" w:hAnsi="Calibri" w:cs="Calibri"/>
                <w:b/>
                <w:bCs/>
              </w:rPr>
            </w:pPr>
            <w:r w:rsidRPr="007C7368">
              <w:rPr>
                <w:rFonts w:ascii="Calibri" w:hAnsi="Calibri" w:cs="Calibri"/>
                <w:b/>
                <w:bCs/>
              </w:rPr>
              <w:t>Staff conduct</w:t>
            </w:r>
          </w:p>
        </w:tc>
        <w:tc>
          <w:tcPr>
            <w:tcW w:w="1656" w:type="dxa"/>
            <w:vAlign w:val="center"/>
            <w:hideMark/>
          </w:tcPr>
          <w:p w14:paraId="20672CE4" w14:textId="0DA3B2CD" w:rsidR="001C0CC6" w:rsidRPr="007C7368" w:rsidRDefault="001C0CC6" w:rsidP="007C7368">
            <w:pPr>
              <w:jc w:val="center"/>
              <w:rPr>
                <w:rFonts w:ascii="Calibri" w:hAnsi="Calibri" w:cs="Calibri"/>
              </w:rPr>
            </w:pPr>
            <w:r w:rsidRPr="007C7368">
              <w:rPr>
                <w:rFonts w:ascii="Calibri" w:hAnsi="Calibri" w:cs="Calibri"/>
              </w:rPr>
              <w:t>22</w:t>
            </w:r>
          </w:p>
        </w:tc>
      </w:tr>
      <w:tr w:rsidR="001C0CC6" w:rsidRPr="007C7368" w14:paraId="05EBDDFA" w14:textId="77777777" w:rsidTr="001C0CC6">
        <w:trPr>
          <w:tblCellSpacing w:w="15" w:type="dxa"/>
        </w:trPr>
        <w:tc>
          <w:tcPr>
            <w:tcW w:w="7326" w:type="dxa"/>
            <w:vAlign w:val="center"/>
          </w:tcPr>
          <w:p w14:paraId="2235F51F" w14:textId="41CD0C0B" w:rsidR="001C0CC6" w:rsidRPr="007C7368" w:rsidRDefault="001C0CC6" w:rsidP="001C0CC6">
            <w:pPr>
              <w:rPr>
                <w:rFonts w:ascii="Calibri" w:hAnsi="Calibri" w:cs="Calibri"/>
                <w:b/>
                <w:bCs/>
              </w:rPr>
            </w:pPr>
            <w:r w:rsidRPr="007C7368">
              <w:rPr>
                <w:rFonts w:ascii="Calibri" w:hAnsi="Calibri" w:cs="Calibri"/>
                <w:b/>
                <w:bCs/>
              </w:rPr>
              <w:t>Request for information</w:t>
            </w:r>
          </w:p>
        </w:tc>
        <w:tc>
          <w:tcPr>
            <w:tcW w:w="1656" w:type="dxa"/>
            <w:vAlign w:val="center"/>
          </w:tcPr>
          <w:p w14:paraId="0B097C22" w14:textId="7253D251" w:rsidR="001C0CC6" w:rsidRPr="007C7368" w:rsidRDefault="001C0CC6" w:rsidP="007C7368">
            <w:pPr>
              <w:jc w:val="center"/>
              <w:rPr>
                <w:rFonts w:ascii="Calibri" w:hAnsi="Calibri" w:cs="Calibri"/>
              </w:rPr>
            </w:pPr>
            <w:r w:rsidRPr="007C7368">
              <w:rPr>
                <w:rFonts w:ascii="Calibri" w:hAnsi="Calibri" w:cs="Calibri"/>
              </w:rPr>
              <w:t>2</w:t>
            </w:r>
          </w:p>
        </w:tc>
      </w:tr>
    </w:tbl>
    <w:p w14:paraId="3C64380D" w14:textId="77777777" w:rsidR="001C0CC6" w:rsidRPr="007C7368" w:rsidRDefault="001C0CC6" w:rsidP="00B65B0B">
      <w:pPr>
        <w:rPr>
          <w:rFonts w:ascii="Calibri" w:hAnsi="Calibri" w:cs="Calibri"/>
          <w:b/>
          <w:bCs/>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84"/>
        <w:gridCol w:w="957"/>
      </w:tblGrid>
      <w:tr w:rsidR="001C0CC6" w:rsidRPr="007C7368" w14:paraId="28230574" w14:textId="77777777" w:rsidTr="007C7368">
        <w:trPr>
          <w:tblCellSpacing w:w="15" w:type="dxa"/>
          <w:jc w:val="center"/>
        </w:trPr>
        <w:tc>
          <w:tcPr>
            <w:tcW w:w="6339" w:type="dxa"/>
            <w:vAlign w:val="center"/>
            <w:hideMark/>
          </w:tcPr>
          <w:p w14:paraId="3EC7EFF9" w14:textId="77777777" w:rsidR="001C0CC6" w:rsidRPr="007C7368" w:rsidRDefault="001C0CC6" w:rsidP="001C0CC6">
            <w:pPr>
              <w:rPr>
                <w:rFonts w:ascii="Calibri" w:hAnsi="Calibri" w:cs="Calibri"/>
                <w:b/>
                <w:bCs/>
              </w:rPr>
            </w:pPr>
            <w:r w:rsidRPr="007C7368">
              <w:rPr>
                <w:rFonts w:ascii="Calibri" w:hAnsi="Calibri" w:cs="Calibri"/>
                <w:b/>
                <w:bCs/>
              </w:rPr>
              <w:t>SERVICE TEAM</w:t>
            </w:r>
          </w:p>
        </w:tc>
        <w:tc>
          <w:tcPr>
            <w:tcW w:w="912" w:type="dxa"/>
            <w:vAlign w:val="center"/>
            <w:hideMark/>
          </w:tcPr>
          <w:p w14:paraId="174E0BAF" w14:textId="77777777" w:rsidR="001C0CC6" w:rsidRPr="007C7368" w:rsidRDefault="001C0CC6" w:rsidP="007C7368">
            <w:pPr>
              <w:jc w:val="center"/>
              <w:rPr>
                <w:rFonts w:ascii="Calibri" w:hAnsi="Calibri" w:cs="Calibri"/>
                <w:b/>
                <w:bCs/>
              </w:rPr>
            </w:pPr>
            <w:r w:rsidRPr="007C7368">
              <w:rPr>
                <w:rFonts w:ascii="Calibri" w:hAnsi="Calibri" w:cs="Calibri"/>
                <w:b/>
                <w:bCs/>
              </w:rPr>
              <w:t>VOLUME</w:t>
            </w:r>
          </w:p>
        </w:tc>
      </w:tr>
      <w:tr w:rsidR="001C0CC6" w:rsidRPr="007C7368" w14:paraId="700B3497" w14:textId="77777777" w:rsidTr="007C7368">
        <w:trPr>
          <w:tblCellSpacing w:w="15" w:type="dxa"/>
          <w:jc w:val="center"/>
        </w:trPr>
        <w:tc>
          <w:tcPr>
            <w:tcW w:w="6339" w:type="dxa"/>
            <w:vAlign w:val="center"/>
            <w:hideMark/>
          </w:tcPr>
          <w:p w14:paraId="6294F48D" w14:textId="77777777" w:rsidR="001C0CC6" w:rsidRPr="007C7368" w:rsidRDefault="001C0CC6" w:rsidP="001C0CC6">
            <w:pPr>
              <w:rPr>
                <w:rFonts w:ascii="Calibri" w:hAnsi="Calibri" w:cs="Calibri"/>
                <w:b/>
                <w:bCs/>
              </w:rPr>
            </w:pPr>
            <w:r w:rsidRPr="007C7368">
              <w:rPr>
                <w:rFonts w:ascii="Calibri" w:hAnsi="Calibri" w:cs="Calibri"/>
                <w:b/>
                <w:bCs/>
              </w:rPr>
              <w:t>Asset Management</w:t>
            </w:r>
          </w:p>
        </w:tc>
        <w:tc>
          <w:tcPr>
            <w:tcW w:w="912" w:type="dxa"/>
            <w:vAlign w:val="center"/>
            <w:hideMark/>
          </w:tcPr>
          <w:p w14:paraId="0776B505" w14:textId="25C40F89" w:rsidR="001C0CC6" w:rsidRPr="007C7368" w:rsidRDefault="001C0CC6" w:rsidP="007C7368">
            <w:pPr>
              <w:jc w:val="center"/>
              <w:rPr>
                <w:rFonts w:ascii="Calibri" w:hAnsi="Calibri" w:cs="Calibri"/>
              </w:rPr>
            </w:pPr>
            <w:r w:rsidRPr="007C7368">
              <w:rPr>
                <w:rFonts w:ascii="Calibri" w:hAnsi="Calibri" w:cs="Calibri"/>
              </w:rPr>
              <w:t>119</w:t>
            </w:r>
          </w:p>
        </w:tc>
      </w:tr>
      <w:tr w:rsidR="001C0CC6" w:rsidRPr="007C7368" w14:paraId="7247D9B1" w14:textId="77777777" w:rsidTr="007C7368">
        <w:trPr>
          <w:tblCellSpacing w:w="15" w:type="dxa"/>
          <w:jc w:val="center"/>
        </w:trPr>
        <w:tc>
          <w:tcPr>
            <w:tcW w:w="6339" w:type="dxa"/>
            <w:vAlign w:val="center"/>
            <w:hideMark/>
          </w:tcPr>
          <w:p w14:paraId="78ED7266" w14:textId="77777777" w:rsidR="001C0CC6" w:rsidRPr="007C7368" w:rsidRDefault="001C0CC6" w:rsidP="001C0CC6">
            <w:pPr>
              <w:rPr>
                <w:rFonts w:ascii="Calibri" w:hAnsi="Calibri" w:cs="Calibri"/>
                <w:b/>
                <w:bCs/>
              </w:rPr>
            </w:pPr>
            <w:r w:rsidRPr="007C7368">
              <w:rPr>
                <w:rFonts w:ascii="Calibri" w:hAnsi="Calibri" w:cs="Calibri"/>
                <w:b/>
                <w:bCs/>
              </w:rPr>
              <w:t>Housing Management</w:t>
            </w:r>
          </w:p>
        </w:tc>
        <w:tc>
          <w:tcPr>
            <w:tcW w:w="912" w:type="dxa"/>
            <w:vAlign w:val="center"/>
            <w:hideMark/>
          </w:tcPr>
          <w:p w14:paraId="484AA279" w14:textId="5EAF5C03" w:rsidR="001C0CC6" w:rsidRPr="007C7368" w:rsidRDefault="001C0CC6" w:rsidP="007C7368">
            <w:pPr>
              <w:jc w:val="center"/>
              <w:rPr>
                <w:rFonts w:ascii="Calibri" w:hAnsi="Calibri" w:cs="Calibri"/>
              </w:rPr>
            </w:pPr>
            <w:r w:rsidRPr="007C7368">
              <w:rPr>
                <w:rFonts w:ascii="Calibri" w:hAnsi="Calibri" w:cs="Calibri"/>
              </w:rPr>
              <w:t>25</w:t>
            </w:r>
          </w:p>
        </w:tc>
      </w:tr>
      <w:tr w:rsidR="001C0CC6" w:rsidRPr="007C7368" w14:paraId="2345D2DF" w14:textId="77777777" w:rsidTr="007C7368">
        <w:trPr>
          <w:tblCellSpacing w:w="15" w:type="dxa"/>
          <w:jc w:val="center"/>
        </w:trPr>
        <w:tc>
          <w:tcPr>
            <w:tcW w:w="6339" w:type="dxa"/>
            <w:vAlign w:val="center"/>
            <w:hideMark/>
          </w:tcPr>
          <w:p w14:paraId="49773E0E" w14:textId="77777777" w:rsidR="001C0CC6" w:rsidRPr="007C7368" w:rsidRDefault="001C0CC6" w:rsidP="001C0CC6">
            <w:pPr>
              <w:rPr>
                <w:rFonts w:ascii="Calibri" w:hAnsi="Calibri" w:cs="Calibri"/>
                <w:b/>
                <w:bCs/>
              </w:rPr>
            </w:pPr>
            <w:r w:rsidRPr="007C7368">
              <w:rPr>
                <w:rFonts w:ascii="Calibri" w:hAnsi="Calibri" w:cs="Calibri"/>
                <w:b/>
                <w:bCs/>
              </w:rPr>
              <w:t>Housing Needs</w:t>
            </w:r>
          </w:p>
        </w:tc>
        <w:tc>
          <w:tcPr>
            <w:tcW w:w="912" w:type="dxa"/>
            <w:vAlign w:val="center"/>
            <w:hideMark/>
          </w:tcPr>
          <w:p w14:paraId="7E948882" w14:textId="5901FFDB" w:rsidR="001C0CC6" w:rsidRPr="007C7368" w:rsidRDefault="001C0CC6" w:rsidP="007C7368">
            <w:pPr>
              <w:jc w:val="center"/>
              <w:rPr>
                <w:rFonts w:ascii="Calibri" w:hAnsi="Calibri" w:cs="Calibri"/>
              </w:rPr>
            </w:pPr>
            <w:r w:rsidRPr="007C7368">
              <w:rPr>
                <w:rFonts w:ascii="Calibri" w:hAnsi="Calibri" w:cs="Calibri"/>
              </w:rPr>
              <w:t>13</w:t>
            </w:r>
          </w:p>
        </w:tc>
      </w:tr>
      <w:tr w:rsidR="001C0CC6" w:rsidRPr="007C7368" w14:paraId="3F8E33B8" w14:textId="77777777" w:rsidTr="007C7368">
        <w:trPr>
          <w:tblCellSpacing w:w="15" w:type="dxa"/>
          <w:jc w:val="center"/>
        </w:trPr>
        <w:tc>
          <w:tcPr>
            <w:tcW w:w="6339" w:type="dxa"/>
            <w:vAlign w:val="center"/>
            <w:hideMark/>
          </w:tcPr>
          <w:p w14:paraId="48B7815D" w14:textId="77777777" w:rsidR="001C0CC6" w:rsidRPr="007C7368" w:rsidRDefault="001C0CC6" w:rsidP="001C0CC6">
            <w:pPr>
              <w:rPr>
                <w:rFonts w:ascii="Calibri" w:hAnsi="Calibri" w:cs="Calibri"/>
                <w:b/>
                <w:bCs/>
              </w:rPr>
            </w:pPr>
            <w:r w:rsidRPr="007C7368">
              <w:rPr>
                <w:rFonts w:ascii="Calibri" w:hAnsi="Calibri" w:cs="Calibri"/>
                <w:b/>
                <w:bCs/>
              </w:rPr>
              <w:t>Rental Income</w:t>
            </w:r>
          </w:p>
        </w:tc>
        <w:tc>
          <w:tcPr>
            <w:tcW w:w="912" w:type="dxa"/>
            <w:vAlign w:val="center"/>
            <w:hideMark/>
          </w:tcPr>
          <w:p w14:paraId="42EAAA25" w14:textId="6028825F" w:rsidR="001C0CC6" w:rsidRPr="007C7368" w:rsidRDefault="001C0CC6" w:rsidP="007C7368">
            <w:pPr>
              <w:jc w:val="center"/>
              <w:rPr>
                <w:rFonts w:ascii="Calibri" w:hAnsi="Calibri" w:cs="Calibri"/>
              </w:rPr>
            </w:pPr>
            <w:r w:rsidRPr="007C7368">
              <w:rPr>
                <w:rFonts w:ascii="Calibri" w:hAnsi="Calibri" w:cs="Calibri"/>
              </w:rPr>
              <w:t>4</w:t>
            </w:r>
          </w:p>
        </w:tc>
      </w:tr>
      <w:tr w:rsidR="001C0CC6" w:rsidRPr="007C7368" w14:paraId="067841AB" w14:textId="77777777" w:rsidTr="007C7368">
        <w:trPr>
          <w:tblCellSpacing w:w="15" w:type="dxa"/>
          <w:jc w:val="center"/>
        </w:trPr>
        <w:tc>
          <w:tcPr>
            <w:tcW w:w="6339" w:type="dxa"/>
            <w:vAlign w:val="center"/>
            <w:hideMark/>
          </w:tcPr>
          <w:p w14:paraId="4D62F15C" w14:textId="77777777" w:rsidR="001C0CC6" w:rsidRPr="007C7368" w:rsidRDefault="001C0CC6" w:rsidP="001C0CC6">
            <w:pPr>
              <w:rPr>
                <w:rFonts w:ascii="Calibri" w:hAnsi="Calibri" w:cs="Calibri"/>
                <w:b/>
                <w:bCs/>
              </w:rPr>
            </w:pPr>
            <w:r w:rsidRPr="007C7368">
              <w:rPr>
                <w:rFonts w:ascii="Calibri" w:hAnsi="Calibri" w:cs="Calibri"/>
                <w:b/>
                <w:bCs/>
              </w:rPr>
              <w:t>Strategic Housing</w:t>
            </w:r>
          </w:p>
        </w:tc>
        <w:tc>
          <w:tcPr>
            <w:tcW w:w="912" w:type="dxa"/>
            <w:vAlign w:val="center"/>
            <w:hideMark/>
          </w:tcPr>
          <w:p w14:paraId="67D23641" w14:textId="5F5C3A19" w:rsidR="001C0CC6" w:rsidRPr="007C7368" w:rsidRDefault="001C0CC6" w:rsidP="007C7368">
            <w:pPr>
              <w:jc w:val="center"/>
              <w:rPr>
                <w:rFonts w:ascii="Calibri" w:hAnsi="Calibri" w:cs="Calibri"/>
              </w:rPr>
            </w:pPr>
            <w:r w:rsidRPr="007C7368">
              <w:rPr>
                <w:rFonts w:ascii="Calibri" w:hAnsi="Calibri" w:cs="Calibri"/>
              </w:rPr>
              <w:t>4</w:t>
            </w:r>
          </w:p>
        </w:tc>
      </w:tr>
      <w:tr w:rsidR="001C0CC6" w:rsidRPr="007C7368" w14:paraId="57C73005" w14:textId="77777777" w:rsidTr="007C7368">
        <w:trPr>
          <w:tblCellSpacing w:w="15" w:type="dxa"/>
          <w:jc w:val="center"/>
        </w:trPr>
        <w:tc>
          <w:tcPr>
            <w:tcW w:w="6339" w:type="dxa"/>
            <w:vAlign w:val="center"/>
          </w:tcPr>
          <w:p w14:paraId="0B63E16E" w14:textId="2C3604D3" w:rsidR="001C0CC6" w:rsidRPr="007C7368" w:rsidRDefault="001C0CC6" w:rsidP="001C0CC6">
            <w:pPr>
              <w:rPr>
                <w:rFonts w:ascii="Calibri" w:hAnsi="Calibri" w:cs="Calibri"/>
                <w:b/>
                <w:bCs/>
              </w:rPr>
            </w:pPr>
            <w:r w:rsidRPr="007C7368">
              <w:rPr>
                <w:rFonts w:ascii="Calibri" w:hAnsi="Calibri" w:cs="Calibri"/>
                <w:b/>
                <w:bCs/>
              </w:rPr>
              <w:t xml:space="preserve">Sheltered Housing </w:t>
            </w:r>
          </w:p>
        </w:tc>
        <w:tc>
          <w:tcPr>
            <w:tcW w:w="912" w:type="dxa"/>
            <w:vAlign w:val="center"/>
          </w:tcPr>
          <w:p w14:paraId="11CBF01C" w14:textId="2F63D56A" w:rsidR="001C0CC6" w:rsidRPr="007C7368" w:rsidRDefault="001C0CC6" w:rsidP="007C7368">
            <w:pPr>
              <w:jc w:val="center"/>
              <w:rPr>
                <w:rFonts w:ascii="Calibri" w:hAnsi="Calibri" w:cs="Calibri"/>
              </w:rPr>
            </w:pPr>
            <w:r w:rsidRPr="007C7368">
              <w:rPr>
                <w:rFonts w:ascii="Calibri" w:hAnsi="Calibri" w:cs="Calibri"/>
              </w:rPr>
              <w:t>2</w:t>
            </w:r>
          </w:p>
        </w:tc>
      </w:tr>
      <w:tr w:rsidR="001C0CC6" w:rsidRPr="007C7368" w14:paraId="3E00E6C0" w14:textId="77777777" w:rsidTr="007C7368">
        <w:trPr>
          <w:tblCellSpacing w:w="15" w:type="dxa"/>
          <w:jc w:val="center"/>
        </w:trPr>
        <w:tc>
          <w:tcPr>
            <w:tcW w:w="6339" w:type="dxa"/>
            <w:vAlign w:val="center"/>
          </w:tcPr>
          <w:p w14:paraId="3EBA9F37" w14:textId="73D7B3D8" w:rsidR="001C0CC6" w:rsidRPr="007C7368" w:rsidRDefault="001C0CC6" w:rsidP="001C0CC6">
            <w:pPr>
              <w:rPr>
                <w:rFonts w:ascii="Calibri" w:hAnsi="Calibri" w:cs="Calibri"/>
                <w:b/>
                <w:bCs/>
              </w:rPr>
            </w:pPr>
            <w:r w:rsidRPr="007C7368">
              <w:rPr>
                <w:rFonts w:ascii="Calibri" w:hAnsi="Calibri" w:cs="Calibri"/>
                <w:b/>
                <w:bCs/>
              </w:rPr>
              <w:t>Local Housing Companies (WBC owned housing associations)</w:t>
            </w:r>
          </w:p>
        </w:tc>
        <w:tc>
          <w:tcPr>
            <w:tcW w:w="912" w:type="dxa"/>
            <w:vAlign w:val="center"/>
          </w:tcPr>
          <w:p w14:paraId="187AE71C" w14:textId="351B6380" w:rsidR="001C0CC6" w:rsidRPr="007C7368" w:rsidRDefault="001C0CC6" w:rsidP="007C7368">
            <w:pPr>
              <w:jc w:val="center"/>
              <w:rPr>
                <w:rFonts w:ascii="Calibri" w:hAnsi="Calibri" w:cs="Calibri"/>
              </w:rPr>
            </w:pPr>
            <w:r w:rsidRPr="007C7368">
              <w:rPr>
                <w:rFonts w:ascii="Calibri" w:hAnsi="Calibri" w:cs="Calibri"/>
              </w:rPr>
              <w:t>6</w:t>
            </w:r>
          </w:p>
        </w:tc>
      </w:tr>
      <w:tr w:rsidR="001C0CC6" w:rsidRPr="007C7368" w14:paraId="11E192F8" w14:textId="77777777" w:rsidTr="007C7368">
        <w:trPr>
          <w:tblCellSpacing w:w="15" w:type="dxa"/>
          <w:jc w:val="center"/>
        </w:trPr>
        <w:tc>
          <w:tcPr>
            <w:tcW w:w="6339" w:type="dxa"/>
            <w:vAlign w:val="center"/>
          </w:tcPr>
          <w:p w14:paraId="5AA7E6DE" w14:textId="3C47A23C" w:rsidR="001C0CC6" w:rsidRPr="007C7368" w:rsidRDefault="001C0CC6" w:rsidP="001C0CC6">
            <w:pPr>
              <w:rPr>
                <w:rFonts w:ascii="Calibri" w:hAnsi="Calibri" w:cs="Calibri"/>
                <w:b/>
                <w:bCs/>
              </w:rPr>
            </w:pPr>
            <w:r w:rsidRPr="007C7368">
              <w:rPr>
                <w:rFonts w:ascii="Calibri" w:hAnsi="Calibri" w:cs="Calibri"/>
                <w:b/>
                <w:bCs/>
              </w:rPr>
              <w:t>Other</w:t>
            </w:r>
          </w:p>
        </w:tc>
        <w:tc>
          <w:tcPr>
            <w:tcW w:w="912" w:type="dxa"/>
            <w:vAlign w:val="center"/>
          </w:tcPr>
          <w:p w14:paraId="7650B94C" w14:textId="2327AB7E" w:rsidR="001C0CC6" w:rsidRPr="007C7368" w:rsidRDefault="001C0CC6" w:rsidP="007C7368">
            <w:pPr>
              <w:jc w:val="center"/>
              <w:rPr>
                <w:rFonts w:ascii="Calibri" w:hAnsi="Calibri" w:cs="Calibri"/>
              </w:rPr>
            </w:pPr>
            <w:r w:rsidRPr="007C7368">
              <w:rPr>
                <w:rFonts w:ascii="Calibri" w:hAnsi="Calibri" w:cs="Calibri"/>
              </w:rPr>
              <w:t>1</w:t>
            </w:r>
          </w:p>
        </w:tc>
      </w:tr>
    </w:tbl>
    <w:p w14:paraId="037BE564" w14:textId="0BA5EA30" w:rsidR="005A52FE" w:rsidRPr="007C7368" w:rsidRDefault="00B65B0B" w:rsidP="00B65B0B">
      <w:pPr>
        <w:rPr>
          <w:rFonts w:ascii="Calibri" w:hAnsi="Calibri" w:cs="Calibri"/>
          <w:b/>
          <w:bCs/>
        </w:rPr>
      </w:pPr>
      <w:r w:rsidRPr="007C7368">
        <w:rPr>
          <w:rFonts w:ascii="Calibri" w:hAnsi="Calibri" w:cs="Calibri"/>
          <w:b/>
          <w:bCs/>
        </w:rPr>
        <w:lastRenderedPageBreak/>
        <w:br/>
        <w:t>3. Time taken to resolve these tenant(s) complaints</w:t>
      </w:r>
      <w:r w:rsidRPr="007C7368">
        <w:rPr>
          <w:rFonts w:ascii="Calibri" w:hAnsi="Calibri" w:cs="Calibri"/>
          <w:b/>
          <w:bCs/>
        </w:rPr>
        <w:br/>
      </w:r>
      <w:r w:rsidR="005A52FE" w:rsidRPr="007C7368">
        <w:rPr>
          <w:rFonts w:ascii="Calibri" w:hAnsi="Calibri" w:cs="Calibri"/>
        </w:rPr>
        <w:t>Average number of working days to complete</w:t>
      </w:r>
      <w:r w:rsidR="00B32B47" w:rsidRPr="007C7368">
        <w:rPr>
          <w:rFonts w:ascii="Calibri" w:hAnsi="Calibri" w:cs="Calibri"/>
        </w:rPr>
        <w:t xml:space="preserve"> a complaint are:</w:t>
      </w:r>
    </w:p>
    <w:p w14:paraId="6E924A06" w14:textId="4EDB9C93" w:rsidR="00B32B47" w:rsidRPr="007C7368" w:rsidRDefault="00B32B47" w:rsidP="00B65B0B">
      <w:pPr>
        <w:rPr>
          <w:rFonts w:ascii="Calibri" w:hAnsi="Calibri" w:cs="Calibri"/>
        </w:rPr>
      </w:pPr>
      <w:r w:rsidRPr="007C7368">
        <w:rPr>
          <w:rFonts w:ascii="Calibri" w:hAnsi="Calibri" w:cs="Calibri"/>
        </w:rPr>
        <w:t>Stage 1 for period 1</w:t>
      </w:r>
      <w:r w:rsidRPr="007C7368">
        <w:rPr>
          <w:rFonts w:ascii="Calibri" w:hAnsi="Calibri" w:cs="Calibri"/>
          <w:vertAlign w:val="superscript"/>
        </w:rPr>
        <w:t>st</w:t>
      </w:r>
      <w:r w:rsidRPr="007C7368">
        <w:rPr>
          <w:rFonts w:ascii="Calibri" w:hAnsi="Calibri" w:cs="Calibri"/>
        </w:rPr>
        <w:t xml:space="preserve"> April 2024 to 31</w:t>
      </w:r>
      <w:r w:rsidRPr="007C7368">
        <w:rPr>
          <w:rFonts w:ascii="Calibri" w:hAnsi="Calibri" w:cs="Calibri"/>
          <w:vertAlign w:val="superscript"/>
        </w:rPr>
        <w:t>st</w:t>
      </w:r>
      <w:r w:rsidRPr="007C7368">
        <w:rPr>
          <w:rFonts w:ascii="Calibri" w:hAnsi="Calibri" w:cs="Calibri"/>
        </w:rPr>
        <w:t xml:space="preserve"> March 2025</w:t>
      </w:r>
      <w:r w:rsidR="007C7368" w:rsidRPr="007C7368">
        <w:rPr>
          <w:rFonts w:ascii="Calibri" w:hAnsi="Calibri" w:cs="Calibri"/>
        </w:rPr>
        <w:t>:</w:t>
      </w:r>
      <w:r w:rsidRPr="007C7368">
        <w:rPr>
          <w:rFonts w:ascii="Calibri" w:hAnsi="Calibri" w:cs="Calibri"/>
        </w:rPr>
        <w:t xml:space="preserve"> 11 working days </w:t>
      </w:r>
      <w:r w:rsidR="00880700" w:rsidRPr="007C7368">
        <w:rPr>
          <w:rFonts w:ascii="Calibri" w:hAnsi="Calibri" w:cs="Calibri"/>
        </w:rPr>
        <w:t xml:space="preserve">(target is 10 working days) </w:t>
      </w:r>
    </w:p>
    <w:p w14:paraId="4AAB753A" w14:textId="3C169C97" w:rsidR="00B32B47" w:rsidRPr="007C7368" w:rsidRDefault="00B32B47" w:rsidP="00B65B0B">
      <w:pPr>
        <w:rPr>
          <w:rFonts w:ascii="Calibri" w:hAnsi="Calibri" w:cs="Calibri"/>
        </w:rPr>
      </w:pPr>
      <w:r w:rsidRPr="007C7368">
        <w:rPr>
          <w:rFonts w:ascii="Calibri" w:hAnsi="Calibri" w:cs="Calibri"/>
        </w:rPr>
        <w:t>Stage 2 for period 1</w:t>
      </w:r>
      <w:r w:rsidRPr="007C7368">
        <w:rPr>
          <w:rFonts w:ascii="Calibri" w:hAnsi="Calibri" w:cs="Calibri"/>
          <w:vertAlign w:val="superscript"/>
        </w:rPr>
        <w:t>st</w:t>
      </w:r>
      <w:r w:rsidRPr="007C7368">
        <w:rPr>
          <w:rFonts w:ascii="Calibri" w:hAnsi="Calibri" w:cs="Calibri"/>
        </w:rPr>
        <w:t xml:space="preserve"> April 2024 to 31</w:t>
      </w:r>
      <w:r w:rsidRPr="007C7368">
        <w:rPr>
          <w:rFonts w:ascii="Calibri" w:hAnsi="Calibri" w:cs="Calibri"/>
          <w:vertAlign w:val="superscript"/>
        </w:rPr>
        <w:t>st</w:t>
      </w:r>
      <w:r w:rsidRPr="007C7368">
        <w:rPr>
          <w:rFonts w:ascii="Calibri" w:hAnsi="Calibri" w:cs="Calibri"/>
        </w:rPr>
        <w:t xml:space="preserve"> March 2025</w:t>
      </w:r>
      <w:r w:rsidR="007C7368" w:rsidRPr="007C7368">
        <w:rPr>
          <w:rFonts w:ascii="Calibri" w:hAnsi="Calibri" w:cs="Calibri"/>
        </w:rPr>
        <w:t>:</w:t>
      </w:r>
      <w:r w:rsidRPr="007C7368">
        <w:rPr>
          <w:rFonts w:ascii="Calibri" w:hAnsi="Calibri" w:cs="Calibri"/>
        </w:rPr>
        <w:t xml:space="preserve"> 19 working days</w:t>
      </w:r>
      <w:r w:rsidR="00880700" w:rsidRPr="007C7368">
        <w:rPr>
          <w:rFonts w:ascii="Calibri" w:hAnsi="Calibri" w:cs="Calibri"/>
        </w:rPr>
        <w:t xml:space="preserve"> (target is 20 working days)</w:t>
      </w:r>
    </w:p>
    <w:p w14:paraId="4F60742A" w14:textId="41F4C7A4" w:rsidR="0071405F" w:rsidRPr="007C7368" w:rsidRDefault="00B65B0B" w:rsidP="00B65B0B">
      <w:pPr>
        <w:rPr>
          <w:rFonts w:ascii="Calibri" w:hAnsi="Calibri" w:cs="Calibri"/>
          <w:b/>
          <w:bCs/>
        </w:rPr>
      </w:pPr>
      <w:r w:rsidRPr="007C7368">
        <w:rPr>
          <w:rFonts w:ascii="Calibri" w:hAnsi="Calibri" w:cs="Calibri"/>
          <w:b/>
          <w:bCs/>
        </w:rPr>
        <w:br/>
        <w:t>4. Cost to resolve the tenant(s) complaints</w:t>
      </w:r>
      <w:r w:rsidRPr="007C7368">
        <w:rPr>
          <w:rFonts w:ascii="Calibri" w:hAnsi="Calibri" w:cs="Calibri"/>
          <w:b/>
          <w:bCs/>
        </w:rPr>
        <w:br/>
        <w:t>The total identifiable costs associated with [e.g., external mediation services used for tenant disputes, or specific repair categories that frequently lead to complaints] for complaints resolved in the specified financial year.</w:t>
      </w:r>
    </w:p>
    <w:p w14:paraId="5599E6A1" w14:textId="27512F14" w:rsidR="00B32B47" w:rsidRPr="007C7368" w:rsidRDefault="00B32B47" w:rsidP="00B65B0B">
      <w:pPr>
        <w:rPr>
          <w:rFonts w:ascii="Calibri" w:hAnsi="Calibri" w:cs="Calibri"/>
        </w:rPr>
      </w:pPr>
      <w:r w:rsidRPr="007C7368">
        <w:rPr>
          <w:rFonts w:ascii="Calibri" w:hAnsi="Calibri" w:cs="Calibri"/>
        </w:rPr>
        <w:t xml:space="preserve">The Housing Team can provide details of how much compensation was offered to complainants during this period. However, we cannot provide the exact cost broken down by individual repairs etc, due to the complexity of each case and repair. </w:t>
      </w:r>
    </w:p>
    <w:p w14:paraId="282668BE" w14:textId="0EF98335" w:rsidR="00B32B47" w:rsidRPr="007C7368" w:rsidRDefault="00B32B47" w:rsidP="00B65B0B">
      <w:pPr>
        <w:rPr>
          <w:rFonts w:ascii="Calibri" w:hAnsi="Calibri" w:cs="Calibri"/>
        </w:rPr>
      </w:pPr>
      <w:r w:rsidRPr="007C7368">
        <w:rPr>
          <w:rFonts w:ascii="Calibri" w:hAnsi="Calibri" w:cs="Calibri"/>
        </w:rPr>
        <w:t xml:space="preserve">Total compensation offered across all complaints was </w:t>
      </w:r>
      <w:r w:rsidR="00880700" w:rsidRPr="007C7368">
        <w:rPr>
          <w:rFonts w:ascii="Calibri" w:hAnsi="Calibri" w:cs="Calibri"/>
        </w:rPr>
        <w:t xml:space="preserve">£13,411.14. </w:t>
      </w:r>
    </w:p>
    <w:sectPr w:rsidR="00B32B47" w:rsidRPr="007C7368">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92EDF" w14:textId="77777777" w:rsidR="00C2570E" w:rsidRDefault="00C2570E" w:rsidP="00B65B0B">
      <w:pPr>
        <w:spacing w:after="0" w:line="240" w:lineRule="auto"/>
      </w:pPr>
      <w:r>
        <w:separator/>
      </w:r>
    </w:p>
  </w:endnote>
  <w:endnote w:type="continuationSeparator" w:id="0">
    <w:p w14:paraId="49224FD8" w14:textId="77777777" w:rsidR="00C2570E" w:rsidRDefault="00C2570E" w:rsidP="00B6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9EB3" w14:textId="4B516CDD" w:rsidR="00880700" w:rsidRDefault="00880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6629" w14:textId="0EBB87B2" w:rsidR="00880700" w:rsidRDefault="00880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31EA" w14:textId="1E7BCEDC" w:rsidR="00880700" w:rsidRDefault="00880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D6051" w14:textId="77777777" w:rsidR="00C2570E" w:rsidRDefault="00C2570E" w:rsidP="00B65B0B">
      <w:pPr>
        <w:spacing w:after="0" w:line="240" w:lineRule="auto"/>
      </w:pPr>
      <w:r>
        <w:separator/>
      </w:r>
    </w:p>
  </w:footnote>
  <w:footnote w:type="continuationSeparator" w:id="0">
    <w:p w14:paraId="34FA6357" w14:textId="77777777" w:rsidR="00C2570E" w:rsidRDefault="00C2570E" w:rsidP="00B65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5149"/>
    <w:multiLevelType w:val="hybridMultilevel"/>
    <w:tmpl w:val="8A660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C5101E"/>
    <w:multiLevelType w:val="hybridMultilevel"/>
    <w:tmpl w:val="FA08C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1683390">
    <w:abstractNumId w:val="0"/>
  </w:num>
  <w:num w:numId="2" w16cid:durableId="132330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0B"/>
    <w:rsid w:val="00121EF6"/>
    <w:rsid w:val="001C0CC6"/>
    <w:rsid w:val="003C59A8"/>
    <w:rsid w:val="005A52FE"/>
    <w:rsid w:val="00646170"/>
    <w:rsid w:val="006E6D80"/>
    <w:rsid w:val="0071405F"/>
    <w:rsid w:val="00780756"/>
    <w:rsid w:val="007C7368"/>
    <w:rsid w:val="007D730D"/>
    <w:rsid w:val="00880700"/>
    <w:rsid w:val="008E582F"/>
    <w:rsid w:val="00B32B47"/>
    <w:rsid w:val="00B65B0B"/>
    <w:rsid w:val="00C2570E"/>
    <w:rsid w:val="00E43522"/>
    <w:rsid w:val="00E465D5"/>
    <w:rsid w:val="00E6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1E88"/>
  <w15:chartTrackingRefBased/>
  <w15:docId w15:val="{52F13689-7537-477C-8266-E68B9277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B0B"/>
    <w:rPr>
      <w:rFonts w:eastAsiaTheme="majorEastAsia" w:cstheme="majorBidi"/>
      <w:color w:val="272727" w:themeColor="text1" w:themeTint="D8"/>
    </w:rPr>
  </w:style>
  <w:style w:type="paragraph" w:styleId="Title">
    <w:name w:val="Title"/>
    <w:basedOn w:val="Normal"/>
    <w:next w:val="Normal"/>
    <w:link w:val="TitleChar"/>
    <w:uiPriority w:val="10"/>
    <w:qFormat/>
    <w:rsid w:val="00B65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B0B"/>
    <w:pPr>
      <w:spacing w:before="160"/>
      <w:jc w:val="center"/>
    </w:pPr>
    <w:rPr>
      <w:i/>
      <w:iCs/>
      <w:color w:val="404040" w:themeColor="text1" w:themeTint="BF"/>
    </w:rPr>
  </w:style>
  <w:style w:type="character" w:customStyle="1" w:styleId="QuoteChar">
    <w:name w:val="Quote Char"/>
    <w:basedOn w:val="DefaultParagraphFont"/>
    <w:link w:val="Quote"/>
    <w:uiPriority w:val="29"/>
    <w:rsid w:val="00B65B0B"/>
    <w:rPr>
      <w:i/>
      <w:iCs/>
      <w:color w:val="404040" w:themeColor="text1" w:themeTint="BF"/>
    </w:rPr>
  </w:style>
  <w:style w:type="paragraph" w:styleId="ListParagraph">
    <w:name w:val="List Paragraph"/>
    <w:basedOn w:val="Normal"/>
    <w:uiPriority w:val="34"/>
    <w:qFormat/>
    <w:rsid w:val="00B65B0B"/>
    <w:pPr>
      <w:ind w:left="720"/>
      <w:contextualSpacing/>
    </w:pPr>
  </w:style>
  <w:style w:type="character" w:styleId="IntenseEmphasis">
    <w:name w:val="Intense Emphasis"/>
    <w:basedOn w:val="DefaultParagraphFont"/>
    <w:uiPriority w:val="21"/>
    <w:qFormat/>
    <w:rsid w:val="00B65B0B"/>
    <w:rPr>
      <w:i/>
      <w:iCs/>
      <w:color w:val="0F4761" w:themeColor="accent1" w:themeShade="BF"/>
    </w:rPr>
  </w:style>
  <w:style w:type="paragraph" w:styleId="IntenseQuote">
    <w:name w:val="Intense Quote"/>
    <w:basedOn w:val="Normal"/>
    <w:next w:val="Normal"/>
    <w:link w:val="IntenseQuoteChar"/>
    <w:uiPriority w:val="30"/>
    <w:qFormat/>
    <w:rsid w:val="00B65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B0B"/>
    <w:rPr>
      <w:i/>
      <w:iCs/>
      <w:color w:val="0F4761" w:themeColor="accent1" w:themeShade="BF"/>
    </w:rPr>
  </w:style>
  <w:style w:type="character" w:styleId="IntenseReference">
    <w:name w:val="Intense Reference"/>
    <w:basedOn w:val="DefaultParagraphFont"/>
    <w:uiPriority w:val="32"/>
    <w:qFormat/>
    <w:rsid w:val="00B65B0B"/>
    <w:rPr>
      <w:b/>
      <w:bCs/>
      <w:smallCaps/>
      <w:color w:val="0F4761" w:themeColor="accent1" w:themeShade="BF"/>
      <w:spacing w:val="5"/>
    </w:rPr>
  </w:style>
  <w:style w:type="paragraph" w:styleId="Header">
    <w:name w:val="header"/>
    <w:basedOn w:val="Normal"/>
    <w:link w:val="HeaderChar"/>
    <w:uiPriority w:val="99"/>
    <w:unhideWhenUsed/>
    <w:rsid w:val="00B65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B0B"/>
  </w:style>
  <w:style w:type="paragraph" w:styleId="Footer">
    <w:name w:val="footer"/>
    <w:basedOn w:val="Normal"/>
    <w:link w:val="FooterChar"/>
    <w:uiPriority w:val="99"/>
    <w:unhideWhenUsed/>
    <w:rsid w:val="00B65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675758">
      <w:bodyDiv w:val="1"/>
      <w:marLeft w:val="0"/>
      <w:marRight w:val="0"/>
      <w:marTop w:val="0"/>
      <w:marBottom w:val="0"/>
      <w:divBdr>
        <w:top w:val="none" w:sz="0" w:space="0" w:color="auto"/>
        <w:left w:val="none" w:sz="0" w:space="0" w:color="auto"/>
        <w:bottom w:val="none" w:sz="0" w:space="0" w:color="auto"/>
        <w:right w:val="none" w:sz="0" w:space="0" w:color="auto"/>
      </w:divBdr>
    </w:div>
    <w:div w:id="670137255">
      <w:bodyDiv w:val="1"/>
      <w:marLeft w:val="0"/>
      <w:marRight w:val="0"/>
      <w:marTop w:val="0"/>
      <w:marBottom w:val="0"/>
      <w:divBdr>
        <w:top w:val="none" w:sz="0" w:space="0" w:color="auto"/>
        <w:left w:val="none" w:sz="0" w:space="0" w:color="auto"/>
        <w:bottom w:val="none" w:sz="0" w:space="0" w:color="auto"/>
        <w:right w:val="none" w:sz="0" w:space="0" w:color="auto"/>
      </w:divBdr>
    </w:div>
    <w:div w:id="1201361739">
      <w:bodyDiv w:val="1"/>
      <w:marLeft w:val="0"/>
      <w:marRight w:val="0"/>
      <w:marTop w:val="0"/>
      <w:marBottom w:val="0"/>
      <w:divBdr>
        <w:top w:val="none" w:sz="0" w:space="0" w:color="auto"/>
        <w:left w:val="none" w:sz="0" w:space="0" w:color="auto"/>
        <w:bottom w:val="none" w:sz="0" w:space="0" w:color="auto"/>
        <w:right w:val="none" w:sz="0" w:space="0" w:color="auto"/>
      </w:divBdr>
    </w:div>
    <w:div w:id="126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Lee</dc:creator>
  <cp:keywords/>
  <dc:description/>
  <cp:lastModifiedBy>Frankie Lawrence</cp:lastModifiedBy>
  <cp:revision>2</cp:revision>
  <dcterms:created xsi:type="dcterms:W3CDTF">2025-07-11T10:50:00Z</dcterms:created>
  <dcterms:modified xsi:type="dcterms:W3CDTF">2025-07-11T10:50:00Z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2025-07-11T10:47:37Z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ea55713b-f82d-41f5-8df0-8419bd702b62</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