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CEF2" w14:textId="42D6244A" w:rsidR="001A000C" w:rsidRPr="001A000C" w:rsidRDefault="001A000C" w:rsidP="001A000C">
      <w:pPr>
        <w:jc w:val="center"/>
        <w:rPr>
          <w:b/>
          <w:bCs/>
          <w:u w:val="single"/>
        </w:rPr>
      </w:pPr>
      <w:r w:rsidRPr="001A000C">
        <w:rPr>
          <w:b/>
          <w:bCs/>
          <w:u w:val="single"/>
        </w:rPr>
        <w:t>WBCIR:20436</w:t>
      </w:r>
    </w:p>
    <w:p w14:paraId="40955C87" w14:textId="4ECC6BEA" w:rsidR="00CA3260" w:rsidRPr="00CA3260" w:rsidRDefault="00CA3260" w:rsidP="00CA3260">
      <w:r w:rsidRPr="00CA3260">
        <w:rPr>
          <w:b/>
          <w:bCs/>
        </w:rPr>
        <w:t>I would like to make a request under the Freedom of Information Act please. Please could you provide, for each of the past five complete financial years, and the first quarter of the current financial year:</w:t>
      </w:r>
      <w:r w:rsidRPr="00CA3260">
        <w:rPr>
          <w:b/>
          <w:bCs/>
        </w:rPr>
        <w:br/>
      </w:r>
      <w:r w:rsidRPr="00CA3260">
        <w:rPr>
          <w:b/>
          <w:bCs/>
        </w:rPr>
        <w:br/>
        <w:t>1. The total number of affordable homes approved by the council in each year</w:t>
      </w:r>
    </w:p>
    <w:p w14:paraId="3D0B8886" w14:textId="686BA9AC" w:rsidR="00CA3260" w:rsidRPr="00CA3260" w:rsidRDefault="00CA3260" w:rsidP="00CA3260">
      <w:r w:rsidRPr="00CA3260">
        <w:t>The council</w:t>
      </w:r>
      <w:r w:rsidRPr="00CA3260">
        <w:rPr>
          <w:b/>
          <w:bCs/>
        </w:rPr>
        <w:t xml:space="preserve"> </w:t>
      </w:r>
      <w:r w:rsidRPr="00CA3260">
        <w:t>monitors the total number of homes approved each year and the total number of home and affordable homes delivered each year.</w:t>
      </w:r>
      <w:r w:rsidRPr="00CA3260">
        <w:rPr>
          <w:b/>
          <w:bCs/>
        </w:rPr>
        <w:br/>
      </w:r>
      <w:r w:rsidRPr="00CA3260">
        <w:rPr>
          <w:b/>
          <w:bCs/>
        </w:rPr>
        <w:br/>
        <w:t xml:space="preserve">2. A breakdown, for each year, of every development approved that included affordable homes and include: the name of the development or road in which it sits, the total number of housing units, the total number of affordable units, the tenure type of the affordable units </w:t>
      </w:r>
      <w:proofErr w:type="spellStart"/>
      <w:r w:rsidRPr="00CA3260">
        <w:rPr>
          <w:b/>
          <w:bCs/>
        </w:rPr>
        <w:t>i.e</w:t>
      </w:r>
      <w:proofErr w:type="spellEnd"/>
      <w:r w:rsidRPr="00CA3260">
        <w:rPr>
          <w:b/>
          <w:bCs/>
        </w:rPr>
        <w:t xml:space="preserve"> social rent, shared ownership</w:t>
      </w:r>
    </w:p>
    <w:p w14:paraId="13FACD30" w14:textId="77777777" w:rsidR="00CA3260" w:rsidRPr="00CA3260" w:rsidRDefault="00CA3260" w:rsidP="00CA3260">
      <w:r w:rsidRPr="00CA3260">
        <w:t>Each year the council publishes the Five-Year Housing land supply which contains:</w:t>
      </w:r>
    </w:p>
    <w:p w14:paraId="179E755E" w14:textId="77777777" w:rsidR="00CA3260" w:rsidRPr="00CA3260" w:rsidRDefault="00CA3260" w:rsidP="00CA3260">
      <w:pPr>
        <w:numPr>
          <w:ilvl w:val="0"/>
          <w:numId w:val="3"/>
        </w:numPr>
      </w:pPr>
      <w:r w:rsidRPr="00CA3260">
        <w:t>The site application number</w:t>
      </w:r>
    </w:p>
    <w:p w14:paraId="35096334" w14:textId="77777777" w:rsidR="00CA3260" w:rsidRPr="00CA3260" w:rsidRDefault="00CA3260" w:rsidP="00CA3260">
      <w:pPr>
        <w:numPr>
          <w:ilvl w:val="0"/>
          <w:numId w:val="3"/>
        </w:numPr>
      </w:pPr>
      <w:r w:rsidRPr="00CA3260">
        <w:t xml:space="preserve">the name of the development or road in which it sits, </w:t>
      </w:r>
    </w:p>
    <w:p w14:paraId="442F8361" w14:textId="77777777" w:rsidR="00CA3260" w:rsidRPr="00CA3260" w:rsidRDefault="00CA3260" w:rsidP="00CA3260">
      <w:pPr>
        <w:numPr>
          <w:ilvl w:val="0"/>
          <w:numId w:val="3"/>
        </w:numPr>
      </w:pPr>
      <w:r w:rsidRPr="00CA3260">
        <w:t xml:space="preserve">the total number of housing units, </w:t>
      </w:r>
    </w:p>
    <w:p w14:paraId="6DCFF0A2" w14:textId="77777777" w:rsidR="00CA3260" w:rsidRPr="00CA3260" w:rsidRDefault="00CA3260" w:rsidP="00CA3260">
      <w:pPr>
        <w:numPr>
          <w:ilvl w:val="0"/>
          <w:numId w:val="3"/>
        </w:numPr>
      </w:pPr>
      <w:r w:rsidRPr="00CA3260">
        <w:t>the total number of affordable units,</w:t>
      </w:r>
    </w:p>
    <w:p w14:paraId="5D4F733B" w14:textId="24B3EAD8" w:rsidR="00CA3260" w:rsidRPr="00CA3260" w:rsidRDefault="00CA3260" w:rsidP="00CA3260">
      <w:r w:rsidRPr="00CA3260">
        <w:t>the past five years have been attached to this response</w:t>
      </w:r>
      <w:r w:rsidR="00CD3642">
        <w:t>, e</w:t>
      </w:r>
      <w:r w:rsidR="00CD3642" w:rsidRPr="00CD3642">
        <w:t>ach year we publish the report</w:t>
      </w:r>
      <w:r w:rsidR="001A000C">
        <w:t xml:space="preserve"> online</w:t>
      </w:r>
      <w:r w:rsidR="00CD3642">
        <w:t>, w</w:t>
      </w:r>
      <w:r w:rsidR="00CD3642" w:rsidRPr="00CD3642">
        <w:t xml:space="preserve">e replace it with the most recent year. 2025 is found here: </w:t>
      </w:r>
      <w:hyperlink r:id="rId7" w:history="1">
        <w:r w:rsidR="00CD3642" w:rsidRPr="00CD3642">
          <w:rPr>
            <w:rStyle w:val="Hyperlink"/>
          </w:rPr>
          <w:t>2025 5YHLSS. Final.pdf</w:t>
        </w:r>
      </w:hyperlink>
    </w:p>
    <w:p w14:paraId="7E816294" w14:textId="68684212" w:rsidR="00CA3260" w:rsidRPr="00CA3260" w:rsidRDefault="00CA3260" w:rsidP="00CA3260">
      <w:r w:rsidRPr="00CA3260">
        <w:t xml:space="preserve">The tenure type of the affordable units </w:t>
      </w:r>
      <w:proofErr w:type="spellStart"/>
      <w:r w:rsidRPr="00CA3260">
        <w:t>i.e</w:t>
      </w:r>
      <w:proofErr w:type="spellEnd"/>
      <w:r w:rsidRPr="00CA3260">
        <w:t xml:space="preserve"> social rent, shared ownership can be obtained by searching the site application number on the public facing planning portal. The Reserved Matters applications will contain a tenure breakdown of which units are social rent or shared ownership. </w:t>
      </w:r>
      <w:r w:rsidRPr="00CA3260">
        <w:br/>
      </w:r>
      <w:r w:rsidRPr="00CA3260">
        <w:rPr>
          <w:b/>
          <w:bCs/>
        </w:rPr>
        <w:br/>
        <w:t>3. A list of approved developments in each year that did not provide the council's minimum requirement for affordable homes. Please provide the name or street location of the development, the total number of homes in that development, the total number of affordable homes and tenure type, the reason given for not meeting the affordable homes benchmark, and any alternative provided in lieu including the amounts of any cash contribution</w:t>
      </w:r>
    </w:p>
    <w:p w14:paraId="44AFC92B" w14:textId="77777777" w:rsidR="00CA3260" w:rsidRPr="00CA3260" w:rsidRDefault="00CA3260" w:rsidP="00CA3260">
      <w:r w:rsidRPr="00CA3260">
        <w:t>0</w:t>
      </w:r>
    </w:p>
    <w:p w14:paraId="26C544C6" w14:textId="77777777" w:rsidR="00CA3260" w:rsidRPr="00CA3260" w:rsidRDefault="00CA3260" w:rsidP="00CA3260">
      <w:r w:rsidRPr="00CA3260">
        <w:rPr>
          <w:b/>
          <w:bCs/>
        </w:rPr>
        <w:br/>
        <w:t>4. What percentage of homes in a development the council says should be classified as affordable in its housing policy</w:t>
      </w:r>
    </w:p>
    <w:p w14:paraId="78EC24B6" w14:textId="77777777" w:rsidR="00CA3260" w:rsidRPr="00CA3260" w:rsidRDefault="00CA3260" w:rsidP="00CA3260">
      <w:r w:rsidRPr="00CA3260">
        <w:lastRenderedPageBreak/>
        <w:t>Policy varies depending on the location of the site, type of land and number of homes being provided:</w:t>
      </w:r>
    </w:p>
    <w:p w14:paraId="16495095" w14:textId="25D43D87" w:rsidR="00CA3260" w:rsidRPr="00CA3260" w:rsidRDefault="00CA3260" w:rsidP="008612C8">
      <w:pPr>
        <w:jc w:val="center"/>
      </w:pPr>
      <w:r>
        <w:rPr>
          <w:noProof/>
        </w:rPr>
        <w:drawing>
          <wp:inline distT="0" distB="0" distL="0" distR="0" wp14:anchorId="306D465B" wp14:editId="6B30E74C">
            <wp:extent cx="4943475" cy="2305050"/>
            <wp:effectExtent l="0" t="0" r="9525" b="0"/>
            <wp:docPr id="331583187" name="Picture 4" descr="A white and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83187" name="Picture 4" descr="A white and black text on a white background&#10;&#10;AI-generated content may be incorrect."/>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43475" cy="2305050"/>
                    </a:xfrm>
                    <a:prstGeom prst="rect">
                      <a:avLst/>
                    </a:prstGeom>
                    <a:noFill/>
                    <a:ln>
                      <a:noFill/>
                    </a:ln>
                  </pic:spPr>
                </pic:pic>
              </a:graphicData>
            </a:graphic>
          </wp:inline>
        </w:drawing>
      </w:r>
      <w:r w:rsidRPr="00CA3260">
        <w:rPr>
          <w:b/>
          <w:bCs/>
        </w:rPr>
        <w:br/>
      </w:r>
      <w:r w:rsidRPr="00CA3260">
        <w:rPr>
          <w:b/>
          <w:bCs/>
        </w:rPr>
        <w:br/>
        <w:t>5. The amount of cash in each of those financial years that was paid by developers in lieu of providing affordable homes, and how much of that cash is yet to be spent</w:t>
      </w:r>
    </w:p>
    <w:p w14:paraId="15A51E5A" w14:textId="77777777" w:rsidR="00CA3260" w:rsidRPr="00CA3260" w:rsidRDefault="00CA3260" w:rsidP="00CA3260">
      <w:r w:rsidRPr="00CA3260">
        <w:t>Affordable housing receipts and unspent below.  The repayment clause is now mostly 10 or 15 years. </w:t>
      </w:r>
    </w:p>
    <w:tbl>
      <w:tblPr>
        <w:tblpPr w:leftFromText="180" w:rightFromText="180" w:vertAnchor="text" w:tblpXSpec="center"/>
        <w:tblW w:w="0" w:type="auto"/>
        <w:shd w:val="clear" w:color="auto" w:fill="FFFFFF"/>
        <w:tblCellMar>
          <w:left w:w="0" w:type="dxa"/>
          <w:right w:w="0" w:type="dxa"/>
        </w:tblCellMar>
        <w:tblLook w:val="04A0" w:firstRow="1" w:lastRow="0" w:firstColumn="1" w:lastColumn="0" w:noHBand="0" w:noVBand="1"/>
      </w:tblPr>
      <w:tblGrid>
        <w:gridCol w:w="1460"/>
        <w:gridCol w:w="1832"/>
        <w:gridCol w:w="1832"/>
      </w:tblGrid>
      <w:tr w:rsidR="00CA3260" w:rsidRPr="00CA3260" w14:paraId="560A8852" w14:textId="77777777" w:rsidTr="008612C8">
        <w:trPr>
          <w:trHeight w:val="288"/>
        </w:trPr>
        <w:tc>
          <w:tcPr>
            <w:tcW w:w="146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A8A1B56" w14:textId="77777777" w:rsidR="00CA3260" w:rsidRPr="00CA3260" w:rsidRDefault="00CA3260" w:rsidP="00CA3260">
            <w:r w:rsidRPr="00CA3260">
              <w:rPr>
                <w:b/>
                <w:bCs/>
              </w:rPr>
              <w:t>Year</w:t>
            </w:r>
          </w:p>
        </w:tc>
        <w:tc>
          <w:tcPr>
            <w:tcW w:w="183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F47BEBC" w14:textId="77777777" w:rsidR="00CA3260" w:rsidRPr="00CA3260" w:rsidRDefault="00CA3260" w:rsidP="00CA3260">
            <w:r w:rsidRPr="00CA3260">
              <w:rPr>
                <w:b/>
                <w:bCs/>
              </w:rPr>
              <w:t>Received</w:t>
            </w:r>
          </w:p>
        </w:tc>
        <w:tc>
          <w:tcPr>
            <w:tcW w:w="183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E6CFBF4" w14:textId="77777777" w:rsidR="00CA3260" w:rsidRPr="00CA3260" w:rsidRDefault="00CA3260" w:rsidP="00CA3260">
            <w:r w:rsidRPr="00CA3260">
              <w:rPr>
                <w:b/>
                <w:bCs/>
              </w:rPr>
              <w:t>Unspent</w:t>
            </w:r>
          </w:p>
        </w:tc>
      </w:tr>
      <w:tr w:rsidR="00CA3260" w:rsidRPr="00CA3260" w14:paraId="29BB71B1" w14:textId="77777777" w:rsidTr="008612C8">
        <w:trPr>
          <w:trHeight w:val="288"/>
        </w:trPr>
        <w:tc>
          <w:tcPr>
            <w:tcW w:w="14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D1C92F8" w14:textId="77777777" w:rsidR="00CA3260" w:rsidRPr="00CA3260" w:rsidRDefault="00CA3260" w:rsidP="00CA3260">
            <w:r w:rsidRPr="00CA3260">
              <w:t>2020/2021</w:t>
            </w:r>
          </w:p>
        </w:tc>
        <w:tc>
          <w:tcPr>
            <w:tcW w:w="18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3F247C" w14:textId="77777777" w:rsidR="00CA3260" w:rsidRPr="00CA3260" w:rsidRDefault="00CA3260" w:rsidP="00CA3260">
            <w:r w:rsidRPr="00CA3260">
              <w:t>£6,858,318.51</w:t>
            </w:r>
          </w:p>
        </w:tc>
        <w:tc>
          <w:tcPr>
            <w:tcW w:w="18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D679492" w14:textId="77777777" w:rsidR="00CA3260" w:rsidRPr="00CA3260" w:rsidRDefault="00CA3260" w:rsidP="00CA3260">
            <w:r w:rsidRPr="00CA3260">
              <w:t>£274,192.00</w:t>
            </w:r>
          </w:p>
        </w:tc>
      </w:tr>
      <w:tr w:rsidR="00CA3260" w:rsidRPr="00CA3260" w14:paraId="787F5A71" w14:textId="77777777" w:rsidTr="008612C8">
        <w:trPr>
          <w:trHeight w:val="288"/>
        </w:trPr>
        <w:tc>
          <w:tcPr>
            <w:tcW w:w="14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705662D" w14:textId="77777777" w:rsidR="00CA3260" w:rsidRPr="00CA3260" w:rsidRDefault="00CA3260" w:rsidP="00CA3260">
            <w:r w:rsidRPr="00CA3260">
              <w:t>2021/2022</w:t>
            </w:r>
          </w:p>
        </w:tc>
        <w:tc>
          <w:tcPr>
            <w:tcW w:w="18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52D7BC7" w14:textId="77777777" w:rsidR="00CA3260" w:rsidRPr="00CA3260" w:rsidRDefault="00CA3260" w:rsidP="00CA3260">
            <w:r w:rsidRPr="00CA3260">
              <w:t>£25,286,175.25</w:t>
            </w:r>
          </w:p>
        </w:tc>
        <w:tc>
          <w:tcPr>
            <w:tcW w:w="18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F25A4E" w14:textId="77777777" w:rsidR="00CA3260" w:rsidRPr="00CA3260" w:rsidRDefault="00CA3260" w:rsidP="00CA3260">
            <w:r w:rsidRPr="00CA3260">
              <w:t>£20,184,524.75</w:t>
            </w:r>
          </w:p>
        </w:tc>
      </w:tr>
      <w:tr w:rsidR="00CA3260" w:rsidRPr="00CA3260" w14:paraId="6CF1259A" w14:textId="77777777" w:rsidTr="008612C8">
        <w:trPr>
          <w:trHeight w:val="288"/>
        </w:trPr>
        <w:tc>
          <w:tcPr>
            <w:tcW w:w="14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48BDA7D9" w14:textId="77777777" w:rsidR="00CA3260" w:rsidRPr="00CA3260" w:rsidRDefault="00CA3260" w:rsidP="00CA3260">
            <w:r w:rsidRPr="00CA3260">
              <w:t>2022/2023</w:t>
            </w:r>
          </w:p>
        </w:tc>
        <w:tc>
          <w:tcPr>
            <w:tcW w:w="18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EDD00FB" w14:textId="77777777" w:rsidR="00CA3260" w:rsidRPr="00CA3260" w:rsidRDefault="00CA3260" w:rsidP="00CA3260">
            <w:r w:rsidRPr="00CA3260">
              <w:t>£10,826,290.53</w:t>
            </w:r>
          </w:p>
        </w:tc>
        <w:tc>
          <w:tcPr>
            <w:tcW w:w="18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F7B6C28" w14:textId="77777777" w:rsidR="00CA3260" w:rsidRPr="00CA3260" w:rsidRDefault="00CA3260" w:rsidP="00CA3260">
            <w:r w:rsidRPr="00CA3260">
              <w:t>£5,862,553.73</w:t>
            </w:r>
          </w:p>
        </w:tc>
      </w:tr>
      <w:tr w:rsidR="00CA3260" w:rsidRPr="00CA3260" w14:paraId="19CF422B" w14:textId="77777777" w:rsidTr="008612C8">
        <w:trPr>
          <w:trHeight w:val="288"/>
        </w:trPr>
        <w:tc>
          <w:tcPr>
            <w:tcW w:w="14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A3C7483" w14:textId="77777777" w:rsidR="00CA3260" w:rsidRPr="00CA3260" w:rsidRDefault="00CA3260" w:rsidP="00CA3260">
            <w:r w:rsidRPr="00CA3260">
              <w:t>2023/2024</w:t>
            </w:r>
          </w:p>
        </w:tc>
        <w:tc>
          <w:tcPr>
            <w:tcW w:w="18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4EB142" w14:textId="77777777" w:rsidR="00CA3260" w:rsidRPr="00CA3260" w:rsidRDefault="00CA3260" w:rsidP="00CA3260">
            <w:r w:rsidRPr="00CA3260">
              <w:t>£8,594,130.90</w:t>
            </w:r>
          </w:p>
        </w:tc>
        <w:tc>
          <w:tcPr>
            <w:tcW w:w="18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1F331ED" w14:textId="77777777" w:rsidR="00CA3260" w:rsidRPr="00CA3260" w:rsidRDefault="00CA3260" w:rsidP="00CA3260">
            <w:r w:rsidRPr="00CA3260">
              <w:t>£8,594,130.90</w:t>
            </w:r>
          </w:p>
        </w:tc>
      </w:tr>
      <w:tr w:rsidR="00CA3260" w:rsidRPr="00CA3260" w14:paraId="6CCE0939" w14:textId="77777777" w:rsidTr="008612C8">
        <w:trPr>
          <w:trHeight w:val="288"/>
        </w:trPr>
        <w:tc>
          <w:tcPr>
            <w:tcW w:w="14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3F2A22D8" w14:textId="77777777" w:rsidR="00CA3260" w:rsidRPr="00CA3260" w:rsidRDefault="00CA3260" w:rsidP="00CA3260">
            <w:r w:rsidRPr="00CA3260">
              <w:t>2024/2025</w:t>
            </w:r>
          </w:p>
        </w:tc>
        <w:tc>
          <w:tcPr>
            <w:tcW w:w="18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E878D49" w14:textId="77777777" w:rsidR="00CA3260" w:rsidRPr="00CA3260" w:rsidRDefault="00CA3260" w:rsidP="00CA3260">
            <w:r w:rsidRPr="00CA3260">
              <w:t>£2,989,556.99</w:t>
            </w:r>
          </w:p>
        </w:tc>
        <w:tc>
          <w:tcPr>
            <w:tcW w:w="18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1441B09" w14:textId="77777777" w:rsidR="00CA3260" w:rsidRPr="00CA3260" w:rsidRDefault="00CA3260" w:rsidP="00CA3260">
            <w:r w:rsidRPr="00CA3260">
              <w:t>£2,989,556.99</w:t>
            </w:r>
          </w:p>
        </w:tc>
      </w:tr>
      <w:tr w:rsidR="00CA3260" w:rsidRPr="00CA3260" w14:paraId="2CD3A181" w14:textId="77777777" w:rsidTr="008612C8">
        <w:trPr>
          <w:trHeight w:val="288"/>
        </w:trPr>
        <w:tc>
          <w:tcPr>
            <w:tcW w:w="14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3744D18F" w14:textId="77777777" w:rsidR="00CA3260" w:rsidRPr="00CA3260" w:rsidRDefault="00CA3260" w:rsidP="00CA3260">
            <w:r w:rsidRPr="00CA3260">
              <w:t>2025/2026</w:t>
            </w:r>
          </w:p>
        </w:tc>
        <w:tc>
          <w:tcPr>
            <w:tcW w:w="18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6282C8B" w14:textId="77777777" w:rsidR="00CA3260" w:rsidRPr="00CA3260" w:rsidRDefault="00CA3260" w:rsidP="00CA3260">
            <w:r w:rsidRPr="00CA3260">
              <w:t>£0.00</w:t>
            </w:r>
          </w:p>
        </w:tc>
        <w:tc>
          <w:tcPr>
            <w:tcW w:w="183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E41C948" w14:textId="77777777" w:rsidR="00CA3260" w:rsidRPr="00CA3260" w:rsidRDefault="00CA3260" w:rsidP="00CA3260"/>
        </w:tc>
      </w:tr>
    </w:tbl>
    <w:p w14:paraId="4DE79D3E" w14:textId="77777777" w:rsidR="00CA3260" w:rsidRPr="00CA3260" w:rsidRDefault="00CA3260" w:rsidP="00CA3260">
      <w:r w:rsidRPr="00CA3260">
        <w:t> </w:t>
      </w:r>
    </w:p>
    <w:p w14:paraId="49882306" w14:textId="77777777" w:rsidR="00CA3260" w:rsidRPr="00CA3260" w:rsidRDefault="00CA3260" w:rsidP="00CA3260">
      <w:r w:rsidRPr="00CA3260">
        <w:t> </w:t>
      </w:r>
    </w:p>
    <w:p w14:paraId="06B46C4F" w14:textId="77777777" w:rsidR="00CA3260" w:rsidRPr="00CA3260" w:rsidRDefault="00CA3260" w:rsidP="00CA3260">
      <w:r w:rsidRPr="00CA3260">
        <w:rPr>
          <w:b/>
          <w:bCs/>
        </w:rPr>
        <w:t> </w:t>
      </w:r>
    </w:p>
    <w:p w14:paraId="52ABBEFB" w14:textId="77777777" w:rsidR="00CA3260" w:rsidRPr="00CA3260" w:rsidRDefault="00CA3260" w:rsidP="00CA3260">
      <w:r w:rsidRPr="00CA3260">
        <w:rPr>
          <w:b/>
          <w:bCs/>
        </w:rPr>
        <w:t> </w:t>
      </w:r>
    </w:p>
    <w:p w14:paraId="21CA8A70" w14:textId="77777777" w:rsidR="00CA3260" w:rsidRPr="00CA3260" w:rsidRDefault="00CA3260" w:rsidP="00CA3260">
      <w:r w:rsidRPr="00CA3260">
        <w:rPr>
          <w:b/>
          <w:bCs/>
        </w:rPr>
        <w:t> </w:t>
      </w:r>
    </w:p>
    <w:p w14:paraId="722DA9B3" w14:textId="77777777" w:rsidR="00CA3260" w:rsidRPr="00CA3260" w:rsidRDefault="00CA3260" w:rsidP="00CA3260">
      <w:r w:rsidRPr="00CA3260">
        <w:rPr>
          <w:b/>
          <w:bCs/>
        </w:rPr>
        <w:t> </w:t>
      </w:r>
    </w:p>
    <w:p w14:paraId="5CD42F03" w14:textId="77777777" w:rsidR="00CA3260" w:rsidRPr="00CA3260" w:rsidRDefault="00CA3260" w:rsidP="00CA3260">
      <w:r w:rsidRPr="00CA3260">
        <w:rPr>
          <w:b/>
          <w:bCs/>
        </w:rPr>
        <w:t> </w:t>
      </w:r>
    </w:p>
    <w:p w14:paraId="531C7103" w14:textId="77777777" w:rsidR="00CA3260" w:rsidRPr="00CA3260" w:rsidRDefault="00CA3260" w:rsidP="00CA3260">
      <w:r w:rsidRPr="00CA3260">
        <w:rPr>
          <w:b/>
          <w:bCs/>
        </w:rPr>
        <w:t> </w:t>
      </w:r>
    </w:p>
    <w:p w14:paraId="052861A7" w14:textId="77777777" w:rsidR="00CA3260" w:rsidRPr="00CA3260" w:rsidRDefault="00CA3260" w:rsidP="00CA3260">
      <w:r w:rsidRPr="00CA3260">
        <w:t>0 for both temporary and emergency.</w:t>
      </w:r>
    </w:p>
    <w:p w14:paraId="7936E3CF" w14:textId="77777777" w:rsidR="00CA3260" w:rsidRPr="00CA3260" w:rsidRDefault="00CA3260" w:rsidP="00CA3260">
      <w:r w:rsidRPr="00CA3260">
        <w:rPr>
          <w:b/>
          <w:bCs/>
        </w:rPr>
        <w:br/>
        <w:t>6. How much money from the pot of cash paid into by developers in lieu of providing affordable homes that was spent on emergency or temporary accommodation</w:t>
      </w:r>
      <w:r w:rsidRPr="00CA3260">
        <w:br/>
        <w:t>0 Emergency Accommodation</w:t>
      </w:r>
    </w:p>
    <w:p w14:paraId="6E39E826" w14:textId="2BAC7DDC" w:rsidR="00FD6C08" w:rsidRPr="009542B2" w:rsidRDefault="00FD6C08" w:rsidP="00CA3260"/>
    <w:sectPr w:rsidR="00FD6C08" w:rsidRPr="009542B2">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B916" w14:textId="77777777" w:rsidR="00FD595B" w:rsidRDefault="00FD595B" w:rsidP="001A000C">
      <w:pPr>
        <w:spacing w:after="0" w:line="240" w:lineRule="auto"/>
      </w:pPr>
      <w:r>
        <w:separator/>
      </w:r>
    </w:p>
  </w:endnote>
  <w:endnote w:type="continuationSeparator" w:id="0">
    <w:p w14:paraId="4B2814F4" w14:textId="77777777" w:rsidR="00FD595B" w:rsidRDefault="00FD595B" w:rsidP="001A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D732" w14:textId="64C59C0F" w:rsidR="001A000C" w:rsidRDefault="001A0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704A" w14:textId="4230CA17" w:rsidR="001A000C" w:rsidRDefault="001A0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5DFF" w14:textId="1F420118" w:rsidR="001A000C" w:rsidRDefault="001A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2A1B" w14:textId="77777777" w:rsidR="00FD595B" w:rsidRDefault="00FD595B" w:rsidP="001A000C">
      <w:pPr>
        <w:spacing w:after="0" w:line="240" w:lineRule="auto"/>
      </w:pPr>
      <w:r>
        <w:separator/>
      </w:r>
    </w:p>
  </w:footnote>
  <w:footnote w:type="continuationSeparator" w:id="0">
    <w:p w14:paraId="2EBC16F9" w14:textId="77777777" w:rsidR="00FD595B" w:rsidRDefault="00FD595B" w:rsidP="001A0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C23AF"/>
    <w:multiLevelType w:val="hybridMultilevel"/>
    <w:tmpl w:val="3140BC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1D1516B"/>
    <w:multiLevelType w:val="hybridMultilevel"/>
    <w:tmpl w:val="AAE8F34A"/>
    <w:lvl w:ilvl="0" w:tplc="E5988C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423FB"/>
    <w:multiLevelType w:val="hybridMultilevel"/>
    <w:tmpl w:val="F752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187407">
    <w:abstractNumId w:val="2"/>
  </w:num>
  <w:num w:numId="2" w16cid:durableId="696005567">
    <w:abstractNumId w:val="1"/>
  </w:num>
  <w:num w:numId="3" w16cid:durableId="1378354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B2"/>
    <w:rsid w:val="00004389"/>
    <w:rsid w:val="0010437C"/>
    <w:rsid w:val="001A000C"/>
    <w:rsid w:val="008612C8"/>
    <w:rsid w:val="009542B2"/>
    <w:rsid w:val="00B243D2"/>
    <w:rsid w:val="00CA3260"/>
    <w:rsid w:val="00CD3642"/>
    <w:rsid w:val="00FD595B"/>
    <w:rsid w:val="00FD6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4510"/>
  <w15:chartTrackingRefBased/>
  <w15:docId w15:val="{E476C26E-E45E-4C09-AC47-6ACE8824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2B2"/>
    <w:rPr>
      <w:rFonts w:eastAsiaTheme="majorEastAsia" w:cstheme="majorBidi"/>
      <w:color w:val="272727" w:themeColor="text1" w:themeTint="D8"/>
    </w:rPr>
  </w:style>
  <w:style w:type="paragraph" w:styleId="Title">
    <w:name w:val="Title"/>
    <w:basedOn w:val="Normal"/>
    <w:next w:val="Normal"/>
    <w:link w:val="TitleChar"/>
    <w:uiPriority w:val="10"/>
    <w:qFormat/>
    <w:rsid w:val="009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9542B2"/>
    <w:rPr>
      <w:i/>
      <w:iCs/>
      <w:color w:val="404040" w:themeColor="text1" w:themeTint="BF"/>
    </w:rPr>
  </w:style>
  <w:style w:type="paragraph" w:styleId="ListParagraph">
    <w:name w:val="List Paragraph"/>
    <w:basedOn w:val="Normal"/>
    <w:uiPriority w:val="34"/>
    <w:qFormat/>
    <w:rsid w:val="009542B2"/>
    <w:pPr>
      <w:ind w:left="720"/>
      <w:contextualSpacing/>
    </w:pPr>
  </w:style>
  <w:style w:type="character" w:styleId="IntenseEmphasis">
    <w:name w:val="Intense Emphasis"/>
    <w:basedOn w:val="DefaultParagraphFont"/>
    <w:uiPriority w:val="21"/>
    <w:qFormat/>
    <w:rsid w:val="009542B2"/>
    <w:rPr>
      <w:i/>
      <w:iCs/>
      <w:color w:val="0F4761" w:themeColor="accent1" w:themeShade="BF"/>
    </w:rPr>
  </w:style>
  <w:style w:type="paragraph" w:styleId="IntenseQuote">
    <w:name w:val="Intense Quote"/>
    <w:basedOn w:val="Normal"/>
    <w:next w:val="Normal"/>
    <w:link w:val="IntenseQuoteChar"/>
    <w:uiPriority w:val="30"/>
    <w:qFormat/>
    <w:rsid w:val="009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2B2"/>
    <w:rPr>
      <w:i/>
      <w:iCs/>
      <w:color w:val="0F4761" w:themeColor="accent1" w:themeShade="BF"/>
    </w:rPr>
  </w:style>
  <w:style w:type="character" w:styleId="IntenseReference">
    <w:name w:val="Intense Reference"/>
    <w:basedOn w:val="DefaultParagraphFont"/>
    <w:uiPriority w:val="32"/>
    <w:qFormat/>
    <w:rsid w:val="009542B2"/>
    <w:rPr>
      <w:b/>
      <w:bCs/>
      <w:smallCaps/>
      <w:color w:val="0F4761" w:themeColor="accent1" w:themeShade="BF"/>
      <w:spacing w:val="5"/>
    </w:rPr>
  </w:style>
  <w:style w:type="character" w:styleId="Hyperlink">
    <w:name w:val="Hyperlink"/>
    <w:basedOn w:val="DefaultParagraphFont"/>
    <w:uiPriority w:val="99"/>
    <w:unhideWhenUsed/>
    <w:rsid w:val="00CD3642"/>
    <w:rPr>
      <w:color w:val="467886" w:themeColor="hyperlink"/>
      <w:u w:val="single"/>
    </w:rPr>
  </w:style>
  <w:style w:type="character" w:styleId="UnresolvedMention">
    <w:name w:val="Unresolved Mention"/>
    <w:basedOn w:val="DefaultParagraphFont"/>
    <w:uiPriority w:val="99"/>
    <w:semiHidden/>
    <w:unhideWhenUsed/>
    <w:rsid w:val="00CD3642"/>
    <w:rPr>
      <w:color w:val="605E5C"/>
      <w:shd w:val="clear" w:color="auto" w:fill="E1DFDD"/>
    </w:rPr>
  </w:style>
  <w:style w:type="paragraph" w:styleId="Footer">
    <w:name w:val="footer"/>
    <w:basedOn w:val="Normal"/>
    <w:link w:val="FooterChar"/>
    <w:uiPriority w:val="99"/>
    <w:unhideWhenUsed/>
    <w:rsid w:val="001A0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s%3A%2F%2Fwww.wokingham.gov.uk%2Fsites%2Fwokingham%2Ffiles%2F2025-07%2F2025%25205YHLSS.%2520Final.pdf&amp;data=05%7C02%7Cinformationrequests%40wokingham.gov.uk%7C6d3f79008d314f703cd008de0d776578%7C996ee15c0b3e4a6f8e65120a9a51821a%7C0%7C0%7C638963004654939700%7CUnknown%7CTWFpbGZsb3d8eyJFbXB0eU1hcGkiOnRydWUsIlYiOiIwLjAuMDAwMCIsIlAiOiJXaW4zMiIsIkFOIjoiTWFpbCIsIldUIjoyfQ%3D%3D%7C0%7C%7C%7C&amp;sdata=bwRo3ufRZ3w%2FDEA%2FVTMzJkFBa5AmCCxCTU4Oj6Fa%2BPM%3D&amp;reserved=0"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9.png@01DC3F4C.D76188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3</cp:revision>
  <dcterms:created xsi:type="dcterms:W3CDTF">2025-10-22T10:44:00Z</dcterms:created>
  <dcterms:modified xsi:type="dcterms:W3CDTF">2025-10-22T12:05:00Z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2025-10-22T12:04:44Z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12dbc0cc-054f-4133-8227-a13c79145804</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