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16D5" w14:textId="54C2FFC4" w:rsidR="0058273F" w:rsidRPr="0058273F" w:rsidRDefault="0058273F" w:rsidP="0058273F">
      <w:pPr>
        <w:jc w:val="center"/>
        <w:rPr>
          <w:rFonts w:asciiTheme="majorHAnsi" w:hAnsiTheme="majorHAnsi" w:cstheme="majorHAnsi"/>
          <w:b/>
          <w:bCs/>
          <w:u w:val="single"/>
        </w:rPr>
      </w:pPr>
      <w:r w:rsidRPr="0058273F">
        <w:rPr>
          <w:rFonts w:asciiTheme="majorHAnsi" w:hAnsiTheme="majorHAnsi" w:cstheme="majorHAnsi"/>
          <w:b/>
          <w:bCs/>
          <w:u w:val="single"/>
        </w:rPr>
        <w:t>WBCIR:</w:t>
      </w:r>
      <w:r w:rsidRPr="0058273F">
        <w:rPr>
          <w:rFonts w:asciiTheme="majorHAnsi" w:hAnsiTheme="majorHAnsi" w:cstheme="majorHAnsi"/>
          <w:b/>
          <w:bCs/>
          <w:u w:val="single"/>
        </w:rPr>
        <w:t>20620</w:t>
      </w:r>
    </w:p>
    <w:p w14:paraId="7BC31EDF" w14:textId="7936F648" w:rsidR="00956FF2" w:rsidRPr="0058273F" w:rsidRDefault="00956FF2" w:rsidP="0058273F">
      <w:pPr>
        <w:pStyle w:val="ListParagraph"/>
        <w:numPr>
          <w:ilvl w:val="0"/>
          <w:numId w:val="1"/>
        </w:numPr>
        <w:rPr>
          <w:rFonts w:asciiTheme="majorHAnsi" w:hAnsiTheme="majorHAnsi" w:cstheme="majorHAnsi"/>
          <w:b/>
          <w:bCs/>
        </w:rPr>
      </w:pPr>
      <w:r w:rsidRPr="0058273F">
        <w:rPr>
          <w:rFonts w:asciiTheme="majorHAnsi" w:hAnsiTheme="majorHAnsi" w:cstheme="majorHAnsi"/>
          <w:b/>
          <w:bCs/>
        </w:rPr>
        <w:t xml:space="preserve">a) For all Authorities – Financial question: what </w:t>
      </w:r>
      <w:proofErr w:type="gramStart"/>
      <w:r w:rsidRPr="0058273F">
        <w:rPr>
          <w:rFonts w:asciiTheme="majorHAnsi" w:hAnsiTheme="majorHAnsi" w:cstheme="majorHAnsi"/>
          <w:b/>
          <w:bCs/>
        </w:rPr>
        <w:t>are</w:t>
      </w:r>
      <w:proofErr w:type="gramEnd"/>
      <w:r w:rsidRPr="0058273F">
        <w:rPr>
          <w:rFonts w:asciiTheme="majorHAnsi" w:hAnsiTheme="majorHAnsi" w:cstheme="majorHAnsi"/>
          <w:b/>
          <w:bCs/>
        </w:rPr>
        <w:t xml:space="preserve"> your Authority’s financial expenditure outturns (revenue, not capital) for the years 2023/24 and 2024/25 for your recycling and waste service? What revenue budget for your recycling and waste service has your Authority set for 2025/26</w:t>
      </w:r>
    </w:p>
    <w:p w14:paraId="7B61D0C3" w14:textId="53BDD97E" w:rsidR="00757CFF" w:rsidRPr="0058273F" w:rsidRDefault="00757CFF" w:rsidP="00757CFF">
      <w:pPr>
        <w:rPr>
          <w:rFonts w:asciiTheme="majorHAnsi" w:hAnsiTheme="majorHAnsi" w:cstheme="majorHAnsi"/>
          <w:color w:val="000000" w:themeColor="text1"/>
        </w:rPr>
      </w:pPr>
      <w:r w:rsidRPr="0058273F">
        <w:rPr>
          <w:rFonts w:asciiTheme="majorHAnsi" w:hAnsiTheme="majorHAnsi" w:cstheme="majorHAnsi"/>
          <w:color w:val="000000" w:themeColor="text1"/>
        </w:rPr>
        <w:t>We consider that this information is reasonably accessible to the applicant (via our council website) but for clarity</w:t>
      </w:r>
      <w:r w:rsidR="006D0AAB" w:rsidRPr="0058273F">
        <w:rPr>
          <w:rFonts w:asciiTheme="majorHAnsi" w:hAnsiTheme="majorHAnsi" w:cstheme="majorHAnsi"/>
          <w:color w:val="000000" w:themeColor="text1"/>
        </w:rPr>
        <w:t xml:space="preserve"> we have provided the information below.</w:t>
      </w:r>
      <w:r w:rsidRPr="0058273F">
        <w:rPr>
          <w:rFonts w:asciiTheme="majorHAnsi" w:hAnsiTheme="majorHAnsi" w:cstheme="majorHAnsi"/>
          <w:color w:val="000000" w:themeColor="text1"/>
        </w:rPr>
        <w:t xml:space="preserve"> </w:t>
      </w:r>
    </w:p>
    <w:p w14:paraId="0784502B" w14:textId="13689473"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Outturn for 2023/24:</w:t>
      </w:r>
      <w:r w:rsidR="00A347CD" w:rsidRPr="0058273F">
        <w:rPr>
          <w:rFonts w:asciiTheme="majorHAnsi" w:hAnsiTheme="majorHAnsi" w:cstheme="majorHAnsi"/>
          <w:b/>
          <w:bCs/>
        </w:rPr>
        <w:t xml:space="preserve"> </w:t>
      </w:r>
      <w:r w:rsidR="001B0AC0" w:rsidRPr="0058273F">
        <w:rPr>
          <w:rFonts w:asciiTheme="majorHAnsi" w:hAnsiTheme="majorHAnsi" w:cstheme="majorHAnsi"/>
        </w:rPr>
        <w:t>£</w:t>
      </w:r>
      <w:r w:rsidR="006361B9" w:rsidRPr="0058273F">
        <w:rPr>
          <w:rFonts w:asciiTheme="majorHAnsi" w:hAnsiTheme="majorHAnsi" w:cstheme="majorHAnsi"/>
        </w:rPr>
        <w:t>15,162,297</w:t>
      </w:r>
    </w:p>
    <w:p w14:paraId="7A043E89" w14:textId="30F3628F"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Outturn for 2024/25:</w:t>
      </w:r>
      <w:r w:rsidR="00A347CD" w:rsidRPr="0058273F">
        <w:rPr>
          <w:rFonts w:asciiTheme="majorHAnsi" w:hAnsiTheme="majorHAnsi" w:cstheme="majorHAnsi"/>
          <w:b/>
          <w:bCs/>
        </w:rPr>
        <w:t xml:space="preserve"> </w:t>
      </w:r>
      <w:r w:rsidR="00A347CD" w:rsidRPr="0058273F">
        <w:rPr>
          <w:rFonts w:asciiTheme="majorHAnsi" w:hAnsiTheme="majorHAnsi" w:cstheme="majorHAnsi"/>
        </w:rPr>
        <w:t>£</w:t>
      </w:r>
      <w:r w:rsidR="00C63B01" w:rsidRPr="0058273F">
        <w:rPr>
          <w:rFonts w:asciiTheme="majorHAnsi" w:hAnsiTheme="majorHAnsi" w:cstheme="majorHAnsi"/>
        </w:rPr>
        <w:t>15,504,308</w:t>
      </w:r>
    </w:p>
    <w:p w14:paraId="0FE00176" w14:textId="451A27EA"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Budget for 2025/26:</w:t>
      </w:r>
      <w:r w:rsidR="00624E41" w:rsidRPr="0058273F">
        <w:rPr>
          <w:rFonts w:asciiTheme="majorHAnsi" w:hAnsiTheme="majorHAnsi" w:cstheme="majorHAnsi"/>
        </w:rPr>
        <w:t xml:space="preserve"> £</w:t>
      </w:r>
      <w:r w:rsidR="00C63B01" w:rsidRPr="0058273F">
        <w:rPr>
          <w:rFonts w:asciiTheme="majorHAnsi" w:hAnsiTheme="majorHAnsi" w:cstheme="majorHAnsi"/>
        </w:rPr>
        <w:t>16,978,820</w:t>
      </w:r>
    </w:p>
    <w:p w14:paraId="1FA4D0BB"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b) For all Authorities – Financial question: What value (£) of Packaging EPR payment is your Authority due to receive from Pack UK in 2025/26? To which of your Authority’s services is this funding allocated? (Please specify the service, or services, this funding is allocated to).</w:t>
      </w:r>
    </w:p>
    <w:p w14:paraId="10E846A4"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 Value of </w:t>
      </w:r>
      <w:proofErr w:type="spellStart"/>
      <w:r w:rsidRPr="0058273F">
        <w:rPr>
          <w:rFonts w:asciiTheme="majorHAnsi" w:hAnsiTheme="majorHAnsi" w:cstheme="majorHAnsi"/>
          <w:b/>
          <w:bCs/>
        </w:rPr>
        <w:t>pEPR</w:t>
      </w:r>
      <w:proofErr w:type="spellEnd"/>
      <w:r w:rsidRPr="0058273F">
        <w:rPr>
          <w:rFonts w:asciiTheme="majorHAnsi" w:hAnsiTheme="majorHAnsi" w:cstheme="majorHAnsi"/>
          <w:b/>
          <w:bCs/>
        </w:rPr>
        <w:t xml:space="preserve"> payment 2025/26:</w:t>
      </w:r>
    </w:p>
    <w:p w14:paraId="6081DB02" w14:textId="7ACAF21B" w:rsidR="003A10A4" w:rsidRPr="0058273F" w:rsidRDefault="003A10A4" w:rsidP="003A10A4">
      <w:pPr>
        <w:rPr>
          <w:rFonts w:asciiTheme="majorHAnsi" w:hAnsiTheme="majorHAnsi" w:cstheme="majorHAnsi"/>
          <w:b/>
          <w:bCs/>
          <w:i/>
          <w:iCs/>
          <w:color w:val="0070C0"/>
        </w:rPr>
      </w:pPr>
      <w:r w:rsidRPr="0058273F">
        <w:rPr>
          <w:rFonts w:asciiTheme="majorHAnsi" w:hAnsiTheme="majorHAnsi" w:cstheme="majorHAnsi"/>
          <w:color w:val="000000" w:themeColor="text1"/>
        </w:rPr>
        <w:t xml:space="preserve">We consider that this information is reasonably accessible to the applicant (via the gov.uk website) and therefore consider it to be exempt under the </w:t>
      </w:r>
      <w:proofErr w:type="gramStart"/>
      <w:r w:rsidRPr="0058273F">
        <w:rPr>
          <w:rFonts w:asciiTheme="majorHAnsi" w:hAnsiTheme="majorHAnsi" w:cstheme="majorHAnsi"/>
          <w:color w:val="000000" w:themeColor="text1"/>
        </w:rPr>
        <w:t>FOIA</w:t>
      </w:r>
      <w:r w:rsidRPr="0058273F">
        <w:rPr>
          <w:rFonts w:asciiTheme="majorHAnsi" w:hAnsiTheme="majorHAnsi" w:cstheme="majorHAnsi"/>
          <w:b/>
          <w:bCs/>
          <w:color w:val="000000" w:themeColor="text1"/>
        </w:rPr>
        <w:t>.</w:t>
      </w:r>
      <w:r w:rsidR="0058273F" w:rsidRPr="0058273F">
        <w:rPr>
          <w:rFonts w:asciiTheme="majorHAnsi" w:hAnsiTheme="majorHAnsi" w:cstheme="majorHAnsi"/>
          <w:color w:val="000000" w:themeColor="text1"/>
        </w:rPr>
        <w:t>(</w:t>
      </w:r>
      <w:proofErr w:type="gramEnd"/>
      <w:r w:rsidR="0058273F" w:rsidRPr="0058273F">
        <w:rPr>
          <w:rFonts w:asciiTheme="majorHAnsi" w:hAnsiTheme="majorHAnsi" w:cstheme="majorHAnsi"/>
          <w:color w:val="000000" w:themeColor="text1"/>
        </w:rPr>
        <w:t>Section 21)</w:t>
      </w:r>
    </w:p>
    <w:p w14:paraId="39EAB79A"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Specify the service(s) your </w:t>
      </w:r>
      <w:proofErr w:type="spellStart"/>
      <w:r w:rsidRPr="0058273F">
        <w:rPr>
          <w:rFonts w:asciiTheme="majorHAnsi" w:hAnsiTheme="majorHAnsi" w:cstheme="majorHAnsi"/>
          <w:b/>
          <w:bCs/>
        </w:rPr>
        <w:t>pEPR</w:t>
      </w:r>
      <w:proofErr w:type="spellEnd"/>
      <w:r w:rsidRPr="0058273F">
        <w:rPr>
          <w:rFonts w:asciiTheme="majorHAnsi" w:hAnsiTheme="majorHAnsi" w:cstheme="majorHAnsi"/>
          <w:b/>
          <w:bCs/>
        </w:rPr>
        <w:t xml:space="preserve"> funding is allocated to:</w:t>
      </w:r>
    </w:p>
    <w:p w14:paraId="15E5407A" w14:textId="1D401F2D" w:rsidR="00F8321A" w:rsidRDefault="00DD3AA7" w:rsidP="00956FF2">
      <w:pPr>
        <w:rPr>
          <w:rFonts w:asciiTheme="majorHAnsi" w:hAnsiTheme="majorHAnsi" w:cstheme="majorHAnsi"/>
          <w:color w:val="000000" w:themeColor="text1"/>
        </w:rPr>
      </w:pPr>
      <w:r w:rsidRPr="0058273F">
        <w:rPr>
          <w:rFonts w:asciiTheme="majorHAnsi" w:hAnsiTheme="majorHAnsi" w:cstheme="majorHAnsi"/>
          <w:color w:val="000000" w:themeColor="text1"/>
        </w:rPr>
        <w:t>The funding is allocated to waste and recycling services</w:t>
      </w:r>
    </w:p>
    <w:p w14:paraId="4731A6CD" w14:textId="77777777" w:rsidR="0058273F" w:rsidRPr="0058273F" w:rsidRDefault="0058273F" w:rsidP="00956FF2">
      <w:pPr>
        <w:rPr>
          <w:rFonts w:asciiTheme="majorHAnsi" w:hAnsiTheme="majorHAnsi" w:cstheme="majorHAnsi"/>
        </w:rPr>
      </w:pPr>
    </w:p>
    <w:p w14:paraId="7C92675B"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 For Waste Collection Authorities – Recycling services question: please indicate if your Authority already collects the complete range of these ‘dry-recyclable’ items from households; or the intended quarter period by which you will have collections for the complete range of these ‘</w:t>
      </w:r>
      <w:proofErr w:type="spellStart"/>
      <w:r w:rsidRPr="0058273F">
        <w:rPr>
          <w:rFonts w:asciiTheme="majorHAnsi" w:hAnsiTheme="majorHAnsi" w:cstheme="majorHAnsi"/>
          <w:b/>
          <w:bCs/>
        </w:rPr>
        <w:t>dryrecyclable</w:t>
      </w:r>
      <w:proofErr w:type="spellEnd"/>
      <w:r w:rsidRPr="0058273F">
        <w:rPr>
          <w:rFonts w:asciiTheme="majorHAnsi" w:hAnsiTheme="majorHAnsi" w:cstheme="majorHAnsi"/>
          <w:b/>
          <w:bCs/>
        </w:rPr>
        <w:t>’ items from households in place:</w:t>
      </w:r>
    </w:p>
    <w:p w14:paraId="17941B27"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 Glass bottles and jars used as </w:t>
      </w:r>
      <w:proofErr w:type="gramStart"/>
      <w:r w:rsidRPr="0058273F">
        <w:rPr>
          <w:rFonts w:asciiTheme="majorHAnsi" w:hAnsiTheme="majorHAnsi" w:cstheme="majorHAnsi"/>
          <w:b/>
          <w:bCs/>
        </w:rPr>
        <w:t>packaging;</w:t>
      </w:r>
      <w:proofErr w:type="gramEnd"/>
    </w:p>
    <w:p w14:paraId="27E25BD8"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Steel and aluminium tin cans, aerosols, foils, food trays, jar &amp; bottle lids, and aluminium tubes,</w:t>
      </w:r>
    </w:p>
    <w:p w14:paraId="3E623514" w14:textId="77777777" w:rsidR="0039576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bottles and </w:t>
      </w:r>
      <w:proofErr w:type="gramStart"/>
      <w:r w:rsidRPr="0058273F">
        <w:rPr>
          <w:rFonts w:asciiTheme="majorHAnsi" w:hAnsiTheme="majorHAnsi" w:cstheme="majorHAnsi"/>
          <w:b/>
          <w:bCs/>
        </w:rPr>
        <w:t>jars;</w:t>
      </w:r>
      <w:proofErr w:type="gramEnd"/>
      <w:r w:rsidR="00D61DF1" w:rsidRPr="0058273F">
        <w:rPr>
          <w:rFonts w:asciiTheme="majorHAnsi" w:hAnsiTheme="majorHAnsi" w:cstheme="majorHAnsi"/>
          <w:b/>
          <w:bCs/>
        </w:rPr>
        <w:t xml:space="preserve"> </w:t>
      </w:r>
    </w:p>
    <w:p w14:paraId="01FB27AE"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Plastics PET, PP, LDPE and HDPE bottles, pots, tubs, trays and tubes.</w:t>
      </w:r>
    </w:p>
    <w:p w14:paraId="1B2DEC12"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Plastic polyolefin film packaging and plastic bags (which contain a minimum of 90% by weight of</w:t>
      </w:r>
    </w:p>
    <w:p w14:paraId="4BC62850"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mono-polyethylene, mono-polypropylene, or both).</w:t>
      </w:r>
    </w:p>
    <w:p w14:paraId="0C055145"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All paper and card except the following …</w:t>
      </w:r>
    </w:p>
    <w:p w14:paraId="430B6D2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(a)fibre-based composite where the non-paper fibre content is more than 15% by weight,</w:t>
      </w:r>
    </w:p>
    <w:p w14:paraId="28665325"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(b)fibre-based composite which has layers of plastic on both sides (double-sided lamination),</w:t>
      </w:r>
    </w:p>
    <w:p w14:paraId="78908935"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(c)fibre-based composite cups,</w:t>
      </w:r>
    </w:p>
    <w:p w14:paraId="5BEC9D2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(d)paper and card to which glitter has been adhered,</w:t>
      </w:r>
    </w:p>
    <w:p w14:paraId="1F54E3F7"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lastRenderedPageBreak/>
        <w:t>o (e)paper and card to which foil has been adhered, where the non-paper fibre content is more than</w:t>
      </w:r>
    </w:p>
    <w:p w14:paraId="16BA409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15% by weight,</w:t>
      </w:r>
    </w:p>
    <w:p w14:paraId="024BB93F"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o (f)greaseproof, </w:t>
      </w:r>
      <w:proofErr w:type="spellStart"/>
      <w:r w:rsidRPr="0058273F">
        <w:rPr>
          <w:rFonts w:asciiTheme="majorHAnsi" w:hAnsiTheme="majorHAnsi" w:cstheme="majorHAnsi"/>
          <w:b/>
          <w:bCs/>
        </w:rPr>
        <w:t>siliconised</w:t>
      </w:r>
      <w:proofErr w:type="spellEnd"/>
      <w:r w:rsidRPr="0058273F">
        <w:rPr>
          <w:rFonts w:asciiTheme="majorHAnsi" w:hAnsiTheme="majorHAnsi" w:cstheme="majorHAnsi"/>
          <w:b/>
          <w:bCs/>
        </w:rPr>
        <w:t xml:space="preserve"> or waxed paper,</w:t>
      </w:r>
    </w:p>
    <w:p w14:paraId="2E0E4CB3"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(g)stickers,</w:t>
      </w:r>
    </w:p>
    <w:p w14:paraId="75A14C50"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(h)padded polyethylene lined envelopes,</w:t>
      </w:r>
    </w:p>
    <w:p w14:paraId="47F98F60"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w:t>
      </w:r>
      <w:proofErr w:type="spellStart"/>
      <w:r w:rsidRPr="0058273F">
        <w:rPr>
          <w:rFonts w:asciiTheme="majorHAnsi" w:hAnsiTheme="majorHAnsi" w:cstheme="majorHAnsi"/>
          <w:b/>
          <w:bCs/>
        </w:rPr>
        <w:t>i</w:t>
      </w:r>
      <w:proofErr w:type="spellEnd"/>
      <w:r w:rsidRPr="0058273F">
        <w:rPr>
          <w:rFonts w:asciiTheme="majorHAnsi" w:hAnsiTheme="majorHAnsi" w:cstheme="majorHAnsi"/>
          <w:b/>
          <w:bCs/>
        </w:rPr>
        <w:t>)paperback and hardback books,</w:t>
      </w:r>
    </w:p>
    <w:p w14:paraId="4BFE2885"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 (j)wallpaper.</w:t>
      </w:r>
    </w:p>
    <w:p w14:paraId="70655D9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a) My Authority already collects the complete range of the specified items from households: please tick box if true.</w:t>
      </w:r>
    </w:p>
    <w:p w14:paraId="7BC3690D"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OR …</w:t>
      </w:r>
    </w:p>
    <w:p w14:paraId="12A20EC9"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b) My Authority intends to put in place collections from households for the complete range of specified items by the quarter indicated: please tick the relevant quarter.</w:t>
      </w:r>
    </w:p>
    <w:p w14:paraId="6E1E009F"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2025/26 Q3:</w:t>
      </w:r>
    </w:p>
    <w:p w14:paraId="100AB82B"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2025/26 Q4:</w:t>
      </w:r>
    </w:p>
    <w:p w14:paraId="06480C63"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2026/27 Q1:</w:t>
      </w:r>
    </w:p>
    <w:p w14:paraId="150FDF60"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2026/27 Q2:</w:t>
      </w:r>
    </w:p>
    <w:p w14:paraId="1CF91C33"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2026/27 Q3:</w:t>
      </w:r>
    </w:p>
    <w:p w14:paraId="1BBB9E75"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2026/27 Q4:</w:t>
      </w:r>
    </w:p>
    <w:p w14:paraId="07BA9E63" w14:textId="1DD41E8A"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Later than 2026/27:</w:t>
      </w:r>
    </w:p>
    <w:p w14:paraId="2E49DEE2" w14:textId="4DF487E6" w:rsidR="005E059A" w:rsidRPr="0058273F" w:rsidRDefault="005E059A" w:rsidP="005E059A">
      <w:pPr>
        <w:rPr>
          <w:rFonts w:asciiTheme="majorHAnsi" w:hAnsiTheme="majorHAnsi" w:cstheme="majorHAnsi"/>
          <w:color w:val="000000" w:themeColor="text1"/>
        </w:rPr>
      </w:pPr>
      <w:r w:rsidRPr="0058273F">
        <w:rPr>
          <w:rFonts w:asciiTheme="majorHAnsi" w:hAnsiTheme="majorHAnsi" w:cstheme="majorHAnsi"/>
          <w:color w:val="000000" w:themeColor="text1"/>
        </w:rPr>
        <w:t xml:space="preserve">We consider that this information is reasonably accessible to the applicant (via our council website) </w:t>
      </w:r>
      <w:r w:rsidR="006B5E3A" w:rsidRPr="0058273F">
        <w:rPr>
          <w:rFonts w:asciiTheme="majorHAnsi" w:hAnsiTheme="majorHAnsi" w:cstheme="majorHAnsi"/>
          <w:color w:val="000000" w:themeColor="text1"/>
        </w:rPr>
        <w:t xml:space="preserve"> </w:t>
      </w:r>
      <w:hyperlink r:id="rId7" w:history="1">
        <w:r w:rsidR="006B5E3A" w:rsidRPr="0058273F">
          <w:rPr>
            <w:rStyle w:val="Hyperlink"/>
            <w:rFonts w:asciiTheme="majorHAnsi" w:hAnsiTheme="majorHAnsi" w:cstheme="majorHAnsi"/>
          </w:rPr>
          <w:t>Recycling</w:t>
        </w:r>
      </w:hyperlink>
      <w:r w:rsidR="006B5E3A" w:rsidRPr="0058273F">
        <w:rPr>
          <w:rFonts w:asciiTheme="majorHAnsi" w:hAnsiTheme="majorHAnsi" w:cstheme="majorHAnsi"/>
          <w:color w:val="000000" w:themeColor="text1"/>
        </w:rPr>
        <w:t xml:space="preserve"> </w:t>
      </w:r>
      <w:r w:rsidRPr="0058273F">
        <w:rPr>
          <w:rFonts w:asciiTheme="majorHAnsi" w:hAnsiTheme="majorHAnsi" w:cstheme="majorHAnsi"/>
          <w:color w:val="000000" w:themeColor="text1"/>
        </w:rPr>
        <w:t>and therefore consider it to be exempt under the FOIA.</w:t>
      </w:r>
      <w:r w:rsidR="0058273F">
        <w:rPr>
          <w:rFonts w:asciiTheme="majorHAnsi" w:hAnsiTheme="majorHAnsi" w:cstheme="majorHAnsi"/>
          <w:color w:val="000000" w:themeColor="text1"/>
        </w:rPr>
        <w:t xml:space="preserve"> (Section 21)</w:t>
      </w:r>
      <w:r w:rsidRPr="0058273F">
        <w:rPr>
          <w:rFonts w:asciiTheme="majorHAnsi" w:hAnsiTheme="majorHAnsi" w:cstheme="majorHAnsi"/>
          <w:color w:val="000000" w:themeColor="text1"/>
        </w:rPr>
        <w:t xml:space="preserve"> </w:t>
      </w:r>
    </w:p>
    <w:p w14:paraId="6BAEE9F0" w14:textId="4F5A3915" w:rsidR="005E059A" w:rsidRPr="0058273F" w:rsidRDefault="005E059A" w:rsidP="005E059A">
      <w:pPr>
        <w:rPr>
          <w:rFonts w:asciiTheme="majorHAnsi" w:hAnsiTheme="majorHAnsi" w:cstheme="majorHAnsi"/>
          <w:color w:val="000000" w:themeColor="text1"/>
        </w:rPr>
      </w:pPr>
      <w:r w:rsidRPr="0058273F">
        <w:rPr>
          <w:rFonts w:asciiTheme="majorHAnsi" w:hAnsiTheme="majorHAnsi" w:cstheme="majorHAnsi"/>
          <w:color w:val="000000" w:themeColor="text1"/>
        </w:rPr>
        <w:t>Where any of the requested information is not yet available on our website, please assume that the information is not yet confirmed. In this scenario, any delay may be caused by procurement and/or commissioning, supply chain, delays. Information will be published at the earliest opportunity, particularly so we are able to inform our residents and key stakeholders.</w:t>
      </w:r>
      <w:r w:rsidR="0058273F">
        <w:rPr>
          <w:rFonts w:asciiTheme="majorHAnsi" w:hAnsiTheme="majorHAnsi" w:cstheme="majorHAnsi"/>
          <w:color w:val="000000" w:themeColor="text1"/>
        </w:rPr>
        <w:t xml:space="preserve"> (Section 22)</w:t>
      </w:r>
    </w:p>
    <w:p w14:paraId="5EDC3863" w14:textId="30519114" w:rsidR="00323C7A" w:rsidRPr="0058273F" w:rsidRDefault="00323C7A" w:rsidP="00323C7A">
      <w:pPr>
        <w:rPr>
          <w:rFonts w:asciiTheme="majorHAnsi" w:hAnsiTheme="majorHAnsi" w:cstheme="majorHAnsi"/>
          <w:color w:val="000000" w:themeColor="text1"/>
        </w:rPr>
      </w:pPr>
    </w:p>
    <w:p w14:paraId="1D5AF21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3. For all Authorities – targets/ambitions: please indicate what authority-approved recycling targets/ambitions you have in place for, firstly, all recycling (dry-recycling and organics) and, secondly, for dry-recycling (i.e. the collective target for the range of</w:t>
      </w:r>
    </w:p>
    <w:p w14:paraId="45052F32"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packaging &amp; other recyclable materials you </w:t>
      </w:r>
      <w:proofErr w:type="gramStart"/>
      <w:r w:rsidRPr="0058273F">
        <w:rPr>
          <w:rFonts w:asciiTheme="majorHAnsi" w:hAnsiTheme="majorHAnsi" w:cstheme="majorHAnsi"/>
          <w:b/>
          <w:bCs/>
        </w:rPr>
        <w:t>collects</w:t>
      </w:r>
      <w:proofErr w:type="gramEnd"/>
      <w:r w:rsidRPr="0058273F">
        <w:rPr>
          <w:rFonts w:asciiTheme="majorHAnsi" w:hAnsiTheme="majorHAnsi" w:cstheme="majorHAnsi"/>
          <w:b/>
          <w:bCs/>
        </w:rPr>
        <w:t xml:space="preserve"> and/or dispose of) for the years 2025/26, 2030/31 and 2035/36. Or if there are no authority approved targets for the specific years below, please indicate what recycling performance targets or ambitions your Authority has in place, if any.</w:t>
      </w:r>
    </w:p>
    <w:p w14:paraId="72F073C4"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Target Year Overall Recycling Target (dry-recycling and organics) Dry-recycling Target</w:t>
      </w:r>
    </w:p>
    <w:p w14:paraId="0D9627E8" w14:textId="54AD0438"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2025/26</w:t>
      </w:r>
      <w:r w:rsidR="006C47B1" w:rsidRPr="0058273F">
        <w:rPr>
          <w:rFonts w:asciiTheme="majorHAnsi" w:hAnsiTheme="majorHAnsi" w:cstheme="majorHAnsi"/>
          <w:b/>
          <w:bCs/>
        </w:rPr>
        <w:t xml:space="preserve"> </w:t>
      </w:r>
    </w:p>
    <w:p w14:paraId="5485B2F1"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lastRenderedPageBreak/>
        <w:t>2030/31</w:t>
      </w:r>
    </w:p>
    <w:p w14:paraId="282EA237" w14:textId="77777777"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2035/36</w:t>
      </w:r>
    </w:p>
    <w:p w14:paraId="6A3AA52F" w14:textId="390E6948" w:rsidR="00956FF2" w:rsidRPr="0058273F" w:rsidRDefault="00956FF2" w:rsidP="00956FF2">
      <w:pPr>
        <w:rPr>
          <w:rFonts w:asciiTheme="majorHAnsi" w:hAnsiTheme="majorHAnsi" w:cstheme="majorHAnsi"/>
          <w:b/>
          <w:bCs/>
        </w:rPr>
      </w:pPr>
      <w:r w:rsidRPr="0058273F">
        <w:rPr>
          <w:rFonts w:asciiTheme="majorHAnsi" w:hAnsiTheme="majorHAnsi" w:cstheme="majorHAnsi"/>
          <w:b/>
          <w:bCs/>
        </w:rPr>
        <w:t xml:space="preserve">Recycling performance targets/ambitions your Authority has in place, if any: </w:t>
      </w:r>
    </w:p>
    <w:p w14:paraId="66DB74C3" w14:textId="199ACF42" w:rsidR="001B579B" w:rsidRPr="0058273F" w:rsidRDefault="001B579B" w:rsidP="001B579B">
      <w:pPr>
        <w:rPr>
          <w:rFonts w:asciiTheme="majorHAnsi" w:hAnsiTheme="majorHAnsi" w:cstheme="majorHAnsi"/>
          <w:color w:val="000000" w:themeColor="text1"/>
        </w:rPr>
      </w:pPr>
      <w:bookmarkStart w:id="0" w:name="_Hlk212193532"/>
      <w:r w:rsidRPr="0058273F">
        <w:rPr>
          <w:rFonts w:asciiTheme="majorHAnsi" w:hAnsiTheme="majorHAnsi" w:cstheme="majorHAnsi"/>
          <w:color w:val="000000" w:themeColor="text1"/>
        </w:rPr>
        <w:t xml:space="preserve">We consider that this information is reasonably accessible to the applicant (via our council website) and therefore consider it to be exempt under the FOIA. </w:t>
      </w:r>
      <w:r w:rsidR="0058273F">
        <w:rPr>
          <w:rFonts w:asciiTheme="majorHAnsi" w:hAnsiTheme="majorHAnsi" w:cstheme="majorHAnsi"/>
          <w:color w:val="000000" w:themeColor="text1"/>
        </w:rPr>
        <w:t xml:space="preserve">(Section 21) </w:t>
      </w:r>
    </w:p>
    <w:bookmarkEnd w:id="0"/>
    <w:p w14:paraId="0D100BBD" w14:textId="66606E09" w:rsidR="001B579B" w:rsidRPr="0058273F" w:rsidRDefault="001B579B" w:rsidP="001B579B">
      <w:pPr>
        <w:rPr>
          <w:rFonts w:asciiTheme="majorHAnsi" w:hAnsiTheme="majorHAnsi" w:cstheme="majorHAnsi"/>
          <w:color w:val="000000" w:themeColor="text1"/>
        </w:rPr>
      </w:pPr>
      <w:r w:rsidRPr="0058273F">
        <w:rPr>
          <w:rFonts w:asciiTheme="majorHAnsi" w:hAnsiTheme="majorHAnsi" w:cstheme="majorHAnsi"/>
          <w:color w:val="000000" w:themeColor="text1"/>
        </w:rPr>
        <w:t>Where any of the requested information is not yet available on our website, please assume that the information is not yet confirmed. In this scenario, any delay may be caused by procurement and/or commissioning, supply chain, delays. Information will be published at the earliest opportunity, particularly so we are able to inform our residents and key stakeholders.</w:t>
      </w:r>
      <w:r w:rsidR="0058273F">
        <w:rPr>
          <w:rFonts w:asciiTheme="majorHAnsi" w:hAnsiTheme="majorHAnsi" w:cstheme="majorHAnsi"/>
          <w:color w:val="000000" w:themeColor="text1"/>
        </w:rPr>
        <w:t xml:space="preserve"> (Section 22)</w:t>
      </w:r>
    </w:p>
    <w:p w14:paraId="5F4DE77C" w14:textId="3B9EFBEC" w:rsidR="00C31F1F" w:rsidRPr="0058273F" w:rsidRDefault="00C31F1F" w:rsidP="00956FF2">
      <w:pPr>
        <w:rPr>
          <w:rFonts w:asciiTheme="majorHAnsi" w:hAnsiTheme="majorHAnsi" w:cstheme="majorHAnsi"/>
        </w:rPr>
      </w:pPr>
    </w:p>
    <w:p w14:paraId="728967B2" w14:textId="77777777" w:rsidR="00A859EE" w:rsidRPr="0058273F" w:rsidRDefault="00A859EE">
      <w:pPr>
        <w:rPr>
          <w:rFonts w:asciiTheme="majorHAnsi" w:hAnsiTheme="majorHAnsi" w:cstheme="majorHAnsi"/>
        </w:rPr>
      </w:pPr>
    </w:p>
    <w:sectPr w:rsidR="00A859EE" w:rsidRPr="0058273F">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AA4C" w14:textId="77777777" w:rsidR="008C52D3" w:rsidRDefault="008C52D3" w:rsidP="00956FF2">
      <w:pPr>
        <w:spacing w:after="0" w:line="240" w:lineRule="auto"/>
      </w:pPr>
      <w:r>
        <w:separator/>
      </w:r>
    </w:p>
  </w:endnote>
  <w:endnote w:type="continuationSeparator" w:id="0">
    <w:p w14:paraId="6F985E9A" w14:textId="77777777" w:rsidR="008C52D3" w:rsidRDefault="008C52D3" w:rsidP="009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37DA" w14:textId="126A090F" w:rsidR="00956FF2" w:rsidRDefault="00956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3093" w14:textId="43FE6B60" w:rsidR="00956FF2" w:rsidRDefault="00956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215A" w14:textId="534CCA6C" w:rsidR="00956FF2" w:rsidRDefault="0095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0759" w14:textId="77777777" w:rsidR="008C52D3" w:rsidRDefault="008C52D3" w:rsidP="00956FF2">
      <w:pPr>
        <w:spacing w:after="0" w:line="240" w:lineRule="auto"/>
      </w:pPr>
      <w:r>
        <w:separator/>
      </w:r>
    </w:p>
  </w:footnote>
  <w:footnote w:type="continuationSeparator" w:id="0">
    <w:p w14:paraId="3668D2E9" w14:textId="77777777" w:rsidR="008C52D3" w:rsidRDefault="008C52D3" w:rsidP="0095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41A5"/>
    <w:multiLevelType w:val="hybridMultilevel"/>
    <w:tmpl w:val="5130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584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F2"/>
    <w:rsid w:val="000556A1"/>
    <w:rsid w:val="00087E4E"/>
    <w:rsid w:val="0013179C"/>
    <w:rsid w:val="001A61D9"/>
    <w:rsid w:val="001B0AC0"/>
    <w:rsid w:val="001B579B"/>
    <w:rsid w:val="001C2771"/>
    <w:rsid w:val="00323C7A"/>
    <w:rsid w:val="00375938"/>
    <w:rsid w:val="00395762"/>
    <w:rsid w:val="003A10A4"/>
    <w:rsid w:val="00455698"/>
    <w:rsid w:val="004C176B"/>
    <w:rsid w:val="004D0BEA"/>
    <w:rsid w:val="004D53A4"/>
    <w:rsid w:val="00535947"/>
    <w:rsid w:val="0054571F"/>
    <w:rsid w:val="0058273F"/>
    <w:rsid w:val="005A30DD"/>
    <w:rsid w:val="005E059A"/>
    <w:rsid w:val="00624E41"/>
    <w:rsid w:val="006361B9"/>
    <w:rsid w:val="006472E1"/>
    <w:rsid w:val="00660713"/>
    <w:rsid w:val="006A1DA3"/>
    <w:rsid w:val="006B5E3A"/>
    <w:rsid w:val="006C1D77"/>
    <w:rsid w:val="006C47B1"/>
    <w:rsid w:val="006D0483"/>
    <w:rsid w:val="006D0AAB"/>
    <w:rsid w:val="00723860"/>
    <w:rsid w:val="00757CFF"/>
    <w:rsid w:val="00760405"/>
    <w:rsid w:val="00765AA0"/>
    <w:rsid w:val="00791705"/>
    <w:rsid w:val="008C52D3"/>
    <w:rsid w:val="0090186C"/>
    <w:rsid w:val="00940067"/>
    <w:rsid w:val="00956FF2"/>
    <w:rsid w:val="009666AF"/>
    <w:rsid w:val="00A14FBF"/>
    <w:rsid w:val="00A347CD"/>
    <w:rsid w:val="00A859EE"/>
    <w:rsid w:val="00B05B33"/>
    <w:rsid w:val="00B9468E"/>
    <w:rsid w:val="00C308A5"/>
    <w:rsid w:val="00C31F1F"/>
    <w:rsid w:val="00C63B01"/>
    <w:rsid w:val="00CD5ED9"/>
    <w:rsid w:val="00D33BEC"/>
    <w:rsid w:val="00D61DF1"/>
    <w:rsid w:val="00D65868"/>
    <w:rsid w:val="00DC023D"/>
    <w:rsid w:val="00DD28EB"/>
    <w:rsid w:val="00DD3AA7"/>
    <w:rsid w:val="00EF38C9"/>
    <w:rsid w:val="00F83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07F7"/>
  <w15:chartTrackingRefBased/>
  <w15:docId w15:val="{3D9CF372-3D83-46E8-BFCD-3FAAC95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F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F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F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F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F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F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F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FF2"/>
    <w:rPr>
      <w:rFonts w:eastAsiaTheme="majorEastAsia" w:cstheme="majorBidi"/>
      <w:color w:val="272727" w:themeColor="text1" w:themeTint="D8"/>
    </w:rPr>
  </w:style>
  <w:style w:type="paragraph" w:styleId="Title">
    <w:name w:val="Title"/>
    <w:basedOn w:val="Normal"/>
    <w:next w:val="Normal"/>
    <w:link w:val="TitleChar"/>
    <w:uiPriority w:val="10"/>
    <w:qFormat/>
    <w:rsid w:val="00956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FF2"/>
    <w:pPr>
      <w:spacing w:before="160"/>
      <w:jc w:val="center"/>
    </w:pPr>
    <w:rPr>
      <w:i/>
      <w:iCs/>
      <w:color w:val="404040" w:themeColor="text1" w:themeTint="BF"/>
    </w:rPr>
  </w:style>
  <w:style w:type="character" w:customStyle="1" w:styleId="QuoteChar">
    <w:name w:val="Quote Char"/>
    <w:basedOn w:val="DefaultParagraphFont"/>
    <w:link w:val="Quote"/>
    <w:uiPriority w:val="29"/>
    <w:rsid w:val="00956FF2"/>
    <w:rPr>
      <w:i/>
      <w:iCs/>
      <w:color w:val="404040" w:themeColor="text1" w:themeTint="BF"/>
    </w:rPr>
  </w:style>
  <w:style w:type="paragraph" w:styleId="ListParagraph">
    <w:name w:val="List Paragraph"/>
    <w:basedOn w:val="Normal"/>
    <w:uiPriority w:val="34"/>
    <w:qFormat/>
    <w:rsid w:val="00956FF2"/>
    <w:pPr>
      <w:ind w:left="720"/>
      <w:contextualSpacing/>
    </w:pPr>
  </w:style>
  <w:style w:type="character" w:styleId="IntenseEmphasis">
    <w:name w:val="Intense Emphasis"/>
    <w:basedOn w:val="DefaultParagraphFont"/>
    <w:uiPriority w:val="21"/>
    <w:qFormat/>
    <w:rsid w:val="00956FF2"/>
    <w:rPr>
      <w:i/>
      <w:iCs/>
      <w:color w:val="2F5496" w:themeColor="accent1" w:themeShade="BF"/>
    </w:rPr>
  </w:style>
  <w:style w:type="paragraph" w:styleId="IntenseQuote">
    <w:name w:val="Intense Quote"/>
    <w:basedOn w:val="Normal"/>
    <w:next w:val="Normal"/>
    <w:link w:val="IntenseQuoteChar"/>
    <w:uiPriority w:val="30"/>
    <w:qFormat/>
    <w:rsid w:val="00956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FF2"/>
    <w:rPr>
      <w:i/>
      <w:iCs/>
      <w:color w:val="2F5496" w:themeColor="accent1" w:themeShade="BF"/>
    </w:rPr>
  </w:style>
  <w:style w:type="character" w:styleId="IntenseReference">
    <w:name w:val="Intense Reference"/>
    <w:basedOn w:val="DefaultParagraphFont"/>
    <w:uiPriority w:val="32"/>
    <w:qFormat/>
    <w:rsid w:val="00956FF2"/>
    <w:rPr>
      <w:b/>
      <w:bCs/>
      <w:smallCaps/>
      <w:color w:val="2F5496" w:themeColor="accent1" w:themeShade="BF"/>
      <w:spacing w:val="5"/>
    </w:rPr>
  </w:style>
  <w:style w:type="paragraph" w:styleId="Footer">
    <w:name w:val="footer"/>
    <w:basedOn w:val="Normal"/>
    <w:link w:val="FooterChar"/>
    <w:uiPriority w:val="99"/>
    <w:unhideWhenUsed/>
    <w:rsid w:val="0095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FF2"/>
  </w:style>
  <w:style w:type="character" w:styleId="Hyperlink">
    <w:name w:val="Hyperlink"/>
    <w:basedOn w:val="DefaultParagraphFont"/>
    <w:uiPriority w:val="99"/>
    <w:unhideWhenUsed/>
    <w:rsid w:val="00723860"/>
    <w:rPr>
      <w:color w:val="0563C1" w:themeColor="hyperlink"/>
      <w:u w:val="single"/>
    </w:rPr>
  </w:style>
  <w:style w:type="character" w:styleId="UnresolvedMention">
    <w:name w:val="Unresolved Mention"/>
    <w:basedOn w:val="DefaultParagraphFont"/>
    <w:uiPriority w:val="99"/>
    <w:semiHidden/>
    <w:unhideWhenUsed/>
    <w:rsid w:val="0072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kingham.gov.uk/rubbish-and-recycling/recyc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4055</Characters>
  <Application>Microsoft Office Word</Application>
  <DocSecurity>0</DocSecurity>
  <Lines>81</Lines>
  <Paragraphs>62</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Crick</dc:creator>
  <cp:keywords/>
  <dc:description/>
  <cp:lastModifiedBy>Frankie Lawrence</cp:lastModifiedBy>
  <cp:revision>2</cp:revision>
  <dcterms:created xsi:type="dcterms:W3CDTF">2025-11-14T14:59:00Z</dcterms:created>
  <dcterms:modified xsi:type="dcterms:W3CDTF">2025-11-14T14:59:00Z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2025-11-14T14:59:16Z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a2027fac-abba-4004-8a1a-b35ed885ce5e</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