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C067" w14:textId="2A09867E" w:rsidR="005E366D" w:rsidRPr="005E366D" w:rsidRDefault="005E366D" w:rsidP="005E366D">
      <w:pPr>
        <w:jc w:val="center"/>
        <w:rPr>
          <w:rFonts w:ascii="Calibri" w:hAnsi="Calibri" w:cs="Calibri"/>
          <w:b/>
          <w:bCs/>
          <w:sz w:val="22"/>
          <w:szCs w:val="22"/>
          <w:u w:val="single"/>
        </w:rPr>
      </w:pPr>
      <w:r w:rsidRPr="005E366D">
        <w:rPr>
          <w:rFonts w:ascii="Calibri" w:hAnsi="Calibri" w:cs="Calibri"/>
          <w:b/>
          <w:bCs/>
          <w:sz w:val="22"/>
          <w:szCs w:val="22"/>
          <w:u w:val="single"/>
        </w:rPr>
        <w:t>WBCIR:21091</w:t>
      </w:r>
    </w:p>
    <w:p w14:paraId="5E1C8BEC" w14:textId="634A57C9"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 xml:space="preserve">1. The total number of referrals to Children’s Services per year each year for the last five years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5E366D" w14:paraId="3E86A3A4" w14:textId="77777777" w:rsidTr="005E366D">
        <w:tc>
          <w:tcPr>
            <w:tcW w:w="1127" w:type="dxa"/>
          </w:tcPr>
          <w:p w14:paraId="29E4318D" w14:textId="77777777" w:rsidR="005E366D" w:rsidRDefault="005E366D" w:rsidP="005E366D">
            <w:pPr>
              <w:rPr>
                <w:rFonts w:ascii="Calibri" w:hAnsi="Calibri" w:cs="Calibri"/>
                <w:sz w:val="22"/>
                <w:szCs w:val="22"/>
              </w:rPr>
            </w:pPr>
          </w:p>
        </w:tc>
        <w:tc>
          <w:tcPr>
            <w:tcW w:w="1127" w:type="dxa"/>
          </w:tcPr>
          <w:p w14:paraId="324DC631" w14:textId="21E7FC60"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2018/19</w:t>
            </w:r>
          </w:p>
        </w:tc>
        <w:tc>
          <w:tcPr>
            <w:tcW w:w="1127" w:type="dxa"/>
          </w:tcPr>
          <w:p w14:paraId="6CB902B7" w14:textId="6F04D3F1"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2019/20</w:t>
            </w:r>
          </w:p>
        </w:tc>
        <w:tc>
          <w:tcPr>
            <w:tcW w:w="1127" w:type="dxa"/>
          </w:tcPr>
          <w:p w14:paraId="10AA1A2C" w14:textId="3D37F3A4"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2020/21</w:t>
            </w:r>
          </w:p>
        </w:tc>
        <w:tc>
          <w:tcPr>
            <w:tcW w:w="1127" w:type="dxa"/>
          </w:tcPr>
          <w:p w14:paraId="68BACED7" w14:textId="17D19B06"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2021/22</w:t>
            </w:r>
          </w:p>
        </w:tc>
        <w:tc>
          <w:tcPr>
            <w:tcW w:w="1127" w:type="dxa"/>
          </w:tcPr>
          <w:p w14:paraId="619E0B89" w14:textId="1BB60180"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2022/23</w:t>
            </w:r>
          </w:p>
        </w:tc>
        <w:tc>
          <w:tcPr>
            <w:tcW w:w="1127" w:type="dxa"/>
          </w:tcPr>
          <w:p w14:paraId="072D6329" w14:textId="6CB5C9D0"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2023/24</w:t>
            </w:r>
          </w:p>
        </w:tc>
        <w:tc>
          <w:tcPr>
            <w:tcW w:w="1127" w:type="dxa"/>
          </w:tcPr>
          <w:p w14:paraId="7341CDF2" w14:textId="3EC853DB"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2024/25</w:t>
            </w:r>
          </w:p>
        </w:tc>
      </w:tr>
      <w:tr w:rsidR="005E366D" w14:paraId="536DD07B" w14:textId="77777777" w:rsidTr="005E366D">
        <w:tc>
          <w:tcPr>
            <w:tcW w:w="1127" w:type="dxa"/>
          </w:tcPr>
          <w:p w14:paraId="4E40A59E" w14:textId="516F919D"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Referrals</w:t>
            </w:r>
          </w:p>
        </w:tc>
        <w:tc>
          <w:tcPr>
            <w:tcW w:w="1127" w:type="dxa"/>
          </w:tcPr>
          <w:p w14:paraId="211E6C7A" w14:textId="2F3685D5" w:rsidR="005E366D" w:rsidRDefault="005E366D" w:rsidP="005E366D">
            <w:pPr>
              <w:jc w:val="center"/>
              <w:rPr>
                <w:rFonts w:ascii="Calibri" w:hAnsi="Calibri" w:cs="Calibri"/>
                <w:sz w:val="22"/>
                <w:szCs w:val="22"/>
              </w:rPr>
            </w:pPr>
            <w:r>
              <w:rPr>
                <w:rFonts w:ascii="Calibri" w:hAnsi="Calibri" w:cs="Calibri"/>
                <w:sz w:val="22"/>
                <w:szCs w:val="22"/>
              </w:rPr>
              <w:t>1,705</w:t>
            </w:r>
          </w:p>
        </w:tc>
        <w:tc>
          <w:tcPr>
            <w:tcW w:w="1127" w:type="dxa"/>
          </w:tcPr>
          <w:p w14:paraId="27344223" w14:textId="341398B3" w:rsidR="005E366D" w:rsidRDefault="005E366D" w:rsidP="005E366D">
            <w:pPr>
              <w:jc w:val="center"/>
              <w:rPr>
                <w:rFonts w:ascii="Calibri" w:hAnsi="Calibri" w:cs="Calibri"/>
                <w:sz w:val="22"/>
                <w:szCs w:val="22"/>
              </w:rPr>
            </w:pPr>
            <w:r>
              <w:rPr>
                <w:rFonts w:ascii="Calibri" w:hAnsi="Calibri" w:cs="Calibri"/>
                <w:sz w:val="22"/>
                <w:szCs w:val="22"/>
              </w:rPr>
              <w:t>1,774</w:t>
            </w:r>
          </w:p>
        </w:tc>
        <w:tc>
          <w:tcPr>
            <w:tcW w:w="1127" w:type="dxa"/>
          </w:tcPr>
          <w:p w14:paraId="1ADA0CF0" w14:textId="4060CAE2" w:rsidR="005E366D" w:rsidRDefault="005E366D" w:rsidP="005E366D">
            <w:pPr>
              <w:jc w:val="center"/>
              <w:rPr>
                <w:rFonts w:ascii="Calibri" w:hAnsi="Calibri" w:cs="Calibri"/>
                <w:sz w:val="22"/>
                <w:szCs w:val="22"/>
              </w:rPr>
            </w:pPr>
            <w:r>
              <w:rPr>
                <w:rFonts w:ascii="Calibri" w:hAnsi="Calibri" w:cs="Calibri"/>
                <w:sz w:val="22"/>
                <w:szCs w:val="22"/>
              </w:rPr>
              <w:t>1,348</w:t>
            </w:r>
          </w:p>
        </w:tc>
        <w:tc>
          <w:tcPr>
            <w:tcW w:w="1127" w:type="dxa"/>
          </w:tcPr>
          <w:p w14:paraId="3A2F0CF5" w14:textId="22C89532" w:rsidR="005E366D" w:rsidRDefault="005E366D" w:rsidP="005E366D">
            <w:pPr>
              <w:jc w:val="center"/>
              <w:rPr>
                <w:rFonts w:ascii="Calibri" w:hAnsi="Calibri" w:cs="Calibri"/>
                <w:sz w:val="22"/>
                <w:szCs w:val="22"/>
              </w:rPr>
            </w:pPr>
            <w:r>
              <w:rPr>
                <w:rFonts w:ascii="Calibri" w:hAnsi="Calibri" w:cs="Calibri"/>
                <w:sz w:val="22"/>
                <w:szCs w:val="22"/>
              </w:rPr>
              <w:t>1,529</w:t>
            </w:r>
          </w:p>
        </w:tc>
        <w:tc>
          <w:tcPr>
            <w:tcW w:w="1127" w:type="dxa"/>
          </w:tcPr>
          <w:p w14:paraId="3A10EE91" w14:textId="09FC8303" w:rsidR="005E366D" w:rsidRDefault="005E366D" w:rsidP="005E366D">
            <w:pPr>
              <w:jc w:val="center"/>
              <w:rPr>
                <w:rFonts w:ascii="Calibri" w:hAnsi="Calibri" w:cs="Calibri"/>
                <w:sz w:val="22"/>
                <w:szCs w:val="22"/>
              </w:rPr>
            </w:pPr>
            <w:r>
              <w:rPr>
                <w:rFonts w:ascii="Calibri" w:hAnsi="Calibri" w:cs="Calibri"/>
                <w:sz w:val="22"/>
                <w:szCs w:val="22"/>
              </w:rPr>
              <w:t>1,607</w:t>
            </w:r>
          </w:p>
        </w:tc>
        <w:tc>
          <w:tcPr>
            <w:tcW w:w="1127" w:type="dxa"/>
          </w:tcPr>
          <w:p w14:paraId="369D092B" w14:textId="367A047E" w:rsidR="005E366D" w:rsidRDefault="005E366D" w:rsidP="005E366D">
            <w:pPr>
              <w:jc w:val="center"/>
              <w:rPr>
                <w:rFonts w:ascii="Calibri" w:hAnsi="Calibri" w:cs="Calibri"/>
                <w:sz w:val="22"/>
                <w:szCs w:val="22"/>
              </w:rPr>
            </w:pPr>
            <w:r>
              <w:rPr>
                <w:rFonts w:ascii="Calibri" w:hAnsi="Calibri" w:cs="Calibri"/>
                <w:sz w:val="22"/>
                <w:szCs w:val="22"/>
              </w:rPr>
              <w:t>1,548</w:t>
            </w:r>
          </w:p>
        </w:tc>
        <w:tc>
          <w:tcPr>
            <w:tcW w:w="1127" w:type="dxa"/>
          </w:tcPr>
          <w:p w14:paraId="41757DF4" w14:textId="41AE2987" w:rsidR="005E366D" w:rsidRDefault="005E366D" w:rsidP="005E366D">
            <w:pPr>
              <w:jc w:val="center"/>
              <w:rPr>
                <w:rFonts w:ascii="Calibri" w:hAnsi="Calibri" w:cs="Calibri"/>
                <w:sz w:val="22"/>
                <w:szCs w:val="22"/>
              </w:rPr>
            </w:pPr>
            <w:r>
              <w:rPr>
                <w:rFonts w:ascii="Calibri" w:hAnsi="Calibri" w:cs="Calibri"/>
                <w:sz w:val="22"/>
                <w:szCs w:val="22"/>
              </w:rPr>
              <w:t>1,778</w:t>
            </w:r>
          </w:p>
        </w:tc>
      </w:tr>
      <w:tr w:rsidR="005E366D" w14:paraId="1B80ACB8" w14:textId="77777777" w:rsidTr="005E366D">
        <w:tc>
          <w:tcPr>
            <w:tcW w:w="1127" w:type="dxa"/>
          </w:tcPr>
          <w:p w14:paraId="36E3EC88" w14:textId="0784A69B"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Rate per 10,000 children</w:t>
            </w:r>
          </w:p>
        </w:tc>
        <w:tc>
          <w:tcPr>
            <w:tcW w:w="1127" w:type="dxa"/>
          </w:tcPr>
          <w:p w14:paraId="60F5DBD2" w14:textId="54F27401" w:rsidR="005E366D" w:rsidRDefault="005E366D" w:rsidP="005E366D">
            <w:pPr>
              <w:jc w:val="center"/>
              <w:rPr>
                <w:rFonts w:ascii="Calibri" w:hAnsi="Calibri" w:cs="Calibri"/>
                <w:sz w:val="22"/>
                <w:szCs w:val="22"/>
              </w:rPr>
            </w:pPr>
            <w:r>
              <w:rPr>
                <w:rFonts w:ascii="Calibri" w:hAnsi="Calibri" w:cs="Calibri"/>
                <w:sz w:val="22"/>
                <w:szCs w:val="22"/>
              </w:rPr>
              <w:t>437</w:t>
            </w:r>
          </w:p>
        </w:tc>
        <w:tc>
          <w:tcPr>
            <w:tcW w:w="1127" w:type="dxa"/>
          </w:tcPr>
          <w:p w14:paraId="52FEECE4" w14:textId="6DCD68C2" w:rsidR="005E366D" w:rsidRDefault="005E366D" w:rsidP="005E366D">
            <w:pPr>
              <w:jc w:val="center"/>
              <w:rPr>
                <w:rFonts w:ascii="Calibri" w:hAnsi="Calibri" w:cs="Calibri"/>
                <w:sz w:val="22"/>
                <w:szCs w:val="22"/>
              </w:rPr>
            </w:pPr>
            <w:r>
              <w:rPr>
                <w:rFonts w:ascii="Calibri" w:hAnsi="Calibri" w:cs="Calibri"/>
                <w:sz w:val="22"/>
                <w:szCs w:val="22"/>
              </w:rPr>
              <w:t>446</w:t>
            </w:r>
          </w:p>
        </w:tc>
        <w:tc>
          <w:tcPr>
            <w:tcW w:w="1127" w:type="dxa"/>
          </w:tcPr>
          <w:p w14:paraId="18D2CC5C" w14:textId="19C30237" w:rsidR="005E366D" w:rsidRDefault="005E366D" w:rsidP="005E366D">
            <w:pPr>
              <w:jc w:val="center"/>
              <w:rPr>
                <w:rFonts w:ascii="Calibri" w:hAnsi="Calibri" w:cs="Calibri"/>
                <w:sz w:val="22"/>
                <w:szCs w:val="22"/>
              </w:rPr>
            </w:pPr>
            <w:r>
              <w:rPr>
                <w:rFonts w:ascii="Calibri" w:hAnsi="Calibri" w:cs="Calibri"/>
                <w:sz w:val="22"/>
                <w:szCs w:val="22"/>
              </w:rPr>
              <w:t>333</w:t>
            </w:r>
          </w:p>
        </w:tc>
        <w:tc>
          <w:tcPr>
            <w:tcW w:w="1127" w:type="dxa"/>
          </w:tcPr>
          <w:p w14:paraId="69F69D9E" w14:textId="7787FCB3" w:rsidR="005E366D" w:rsidRDefault="005E366D" w:rsidP="005E366D">
            <w:pPr>
              <w:jc w:val="center"/>
              <w:rPr>
                <w:rFonts w:ascii="Calibri" w:hAnsi="Calibri" w:cs="Calibri"/>
                <w:sz w:val="22"/>
                <w:szCs w:val="22"/>
              </w:rPr>
            </w:pPr>
            <w:r>
              <w:rPr>
                <w:rFonts w:ascii="Calibri" w:hAnsi="Calibri" w:cs="Calibri"/>
                <w:sz w:val="22"/>
                <w:szCs w:val="22"/>
              </w:rPr>
              <w:t>372</w:t>
            </w:r>
          </w:p>
        </w:tc>
        <w:tc>
          <w:tcPr>
            <w:tcW w:w="1127" w:type="dxa"/>
          </w:tcPr>
          <w:p w14:paraId="35099914" w14:textId="13B4DD02" w:rsidR="005E366D" w:rsidRDefault="005E366D" w:rsidP="005E366D">
            <w:pPr>
              <w:jc w:val="center"/>
              <w:rPr>
                <w:rFonts w:ascii="Calibri" w:hAnsi="Calibri" w:cs="Calibri"/>
                <w:sz w:val="22"/>
                <w:szCs w:val="22"/>
              </w:rPr>
            </w:pPr>
            <w:r>
              <w:rPr>
                <w:rFonts w:ascii="Calibri" w:hAnsi="Calibri" w:cs="Calibri"/>
                <w:sz w:val="22"/>
                <w:szCs w:val="22"/>
              </w:rPr>
              <w:t>378</w:t>
            </w:r>
          </w:p>
        </w:tc>
        <w:tc>
          <w:tcPr>
            <w:tcW w:w="1127" w:type="dxa"/>
          </w:tcPr>
          <w:p w14:paraId="4C427692" w14:textId="27CCD470" w:rsidR="005E366D" w:rsidRDefault="005E366D" w:rsidP="005E366D">
            <w:pPr>
              <w:jc w:val="center"/>
              <w:rPr>
                <w:rFonts w:ascii="Calibri" w:hAnsi="Calibri" w:cs="Calibri"/>
                <w:sz w:val="22"/>
                <w:szCs w:val="22"/>
              </w:rPr>
            </w:pPr>
            <w:r>
              <w:rPr>
                <w:rFonts w:ascii="Calibri" w:hAnsi="Calibri" w:cs="Calibri"/>
                <w:sz w:val="22"/>
                <w:szCs w:val="22"/>
              </w:rPr>
              <w:t>357</w:t>
            </w:r>
          </w:p>
        </w:tc>
        <w:tc>
          <w:tcPr>
            <w:tcW w:w="1127" w:type="dxa"/>
          </w:tcPr>
          <w:p w14:paraId="2CCBA4DE" w14:textId="2F207B0B" w:rsidR="005E366D" w:rsidRDefault="005E366D" w:rsidP="005E366D">
            <w:pPr>
              <w:jc w:val="center"/>
              <w:rPr>
                <w:rFonts w:ascii="Calibri" w:hAnsi="Calibri" w:cs="Calibri"/>
                <w:sz w:val="22"/>
                <w:szCs w:val="22"/>
              </w:rPr>
            </w:pPr>
            <w:r>
              <w:rPr>
                <w:rFonts w:ascii="Calibri" w:hAnsi="Calibri" w:cs="Calibri"/>
                <w:sz w:val="22"/>
                <w:szCs w:val="22"/>
              </w:rPr>
              <w:t>400</w:t>
            </w:r>
          </w:p>
        </w:tc>
      </w:tr>
    </w:tbl>
    <w:p w14:paraId="415952A3" w14:textId="5AE05905" w:rsidR="005E366D" w:rsidRPr="005E366D" w:rsidRDefault="005E366D" w:rsidP="005E366D">
      <w:pPr>
        <w:rPr>
          <w:rFonts w:ascii="Calibri" w:hAnsi="Calibri" w:cs="Calibri"/>
          <w:sz w:val="22"/>
          <w:szCs w:val="22"/>
        </w:rPr>
      </w:pPr>
    </w:p>
    <w:p w14:paraId="51BBE159" w14:textId="6F8992A8" w:rsidR="005E366D" w:rsidRPr="005E366D" w:rsidRDefault="005E366D" w:rsidP="005E366D">
      <w:pPr>
        <w:rPr>
          <w:rFonts w:ascii="Calibri" w:hAnsi="Calibri" w:cs="Calibri"/>
          <w:sz w:val="22"/>
          <w:szCs w:val="22"/>
        </w:rPr>
      </w:pPr>
      <w:r w:rsidRPr="005E366D">
        <w:rPr>
          <w:rFonts w:ascii="Calibri" w:hAnsi="Calibri" w:cs="Calibri"/>
          <w:b/>
          <w:bCs/>
          <w:sz w:val="22"/>
          <w:szCs w:val="22"/>
        </w:rPr>
        <w:t>2. The total budget allocated to Children’s services (by calendar year or financial year, whichever is easier) each year for the last five years</w:t>
      </w:r>
      <w:r w:rsidRPr="005E366D">
        <w:rPr>
          <w:rFonts w:ascii="Calibri" w:hAnsi="Calibri" w:cs="Calibri"/>
          <w:sz w:val="22"/>
          <w:szCs w:val="22"/>
        </w:rPr>
        <w:t xml:space="preserve">                </w:t>
      </w:r>
    </w:p>
    <w:tbl>
      <w:tblPr>
        <w:tblW w:w="0" w:type="auto"/>
        <w:tblCellMar>
          <w:left w:w="0" w:type="dxa"/>
          <w:right w:w="0" w:type="dxa"/>
        </w:tblCellMar>
        <w:tblLook w:val="04A0" w:firstRow="1" w:lastRow="0" w:firstColumn="1" w:lastColumn="0" w:noHBand="0" w:noVBand="1"/>
      </w:tblPr>
      <w:tblGrid>
        <w:gridCol w:w="1553"/>
        <w:gridCol w:w="1218"/>
        <w:gridCol w:w="1222"/>
        <w:gridCol w:w="1222"/>
        <w:gridCol w:w="1222"/>
        <w:gridCol w:w="1222"/>
      </w:tblGrid>
      <w:tr w:rsidR="005E366D" w:rsidRPr="005E366D" w14:paraId="71CB6CE8" w14:textId="77777777">
        <w:trPr>
          <w:trHeight w:val="258"/>
        </w:trPr>
        <w:tc>
          <w:tcPr>
            <w:tcW w:w="15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FC0EAED"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Financial Year</w:t>
            </w:r>
          </w:p>
        </w:tc>
        <w:tc>
          <w:tcPr>
            <w:tcW w:w="67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701468A"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2020</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FBD7B4"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2021</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8ED761"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2022</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0E9668D"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2023</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50FFF8C"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2024</w:t>
            </w:r>
          </w:p>
        </w:tc>
      </w:tr>
      <w:tr w:rsidR="005E366D" w:rsidRPr="005E366D" w14:paraId="560C7CF9" w14:textId="77777777">
        <w:trPr>
          <w:trHeight w:val="258"/>
        </w:trPr>
        <w:tc>
          <w:tcPr>
            <w:tcW w:w="155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1DF253"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Budget</w:t>
            </w:r>
          </w:p>
        </w:tc>
        <w:tc>
          <w:tcPr>
            <w:tcW w:w="671" w:type="dxa"/>
            <w:tcBorders>
              <w:top w:val="nil"/>
              <w:left w:val="nil"/>
              <w:bottom w:val="single" w:sz="8" w:space="0" w:color="auto"/>
              <w:right w:val="single" w:sz="8" w:space="0" w:color="auto"/>
            </w:tcBorders>
            <w:noWrap/>
            <w:tcMar>
              <w:top w:w="0" w:type="dxa"/>
              <w:left w:w="108" w:type="dxa"/>
              <w:bottom w:w="0" w:type="dxa"/>
              <w:right w:w="108" w:type="dxa"/>
            </w:tcMar>
            <w:hideMark/>
          </w:tcPr>
          <w:p w14:paraId="2BE61F50" w14:textId="6D0DE06B" w:rsidR="005E366D" w:rsidRPr="005E366D" w:rsidRDefault="005E366D" w:rsidP="005E366D">
            <w:pPr>
              <w:jc w:val="center"/>
              <w:rPr>
                <w:rFonts w:ascii="Calibri" w:hAnsi="Calibri" w:cs="Calibri"/>
                <w:sz w:val="22"/>
                <w:szCs w:val="22"/>
              </w:rPr>
            </w:pPr>
            <w:r w:rsidRPr="005E366D">
              <w:rPr>
                <w:rFonts w:ascii="Calibri" w:hAnsi="Calibri" w:cs="Calibri"/>
                <w:sz w:val="22"/>
                <w:szCs w:val="22"/>
              </w:rPr>
              <w:t>28,735,760</w:t>
            </w:r>
          </w:p>
        </w:tc>
        <w:tc>
          <w:tcPr>
            <w:tcW w:w="1222" w:type="dxa"/>
            <w:tcBorders>
              <w:top w:val="nil"/>
              <w:left w:val="nil"/>
              <w:bottom w:val="single" w:sz="8" w:space="0" w:color="auto"/>
              <w:right w:val="single" w:sz="8" w:space="0" w:color="auto"/>
            </w:tcBorders>
            <w:noWrap/>
            <w:tcMar>
              <w:top w:w="0" w:type="dxa"/>
              <w:left w:w="108" w:type="dxa"/>
              <w:bottom w:w="0" w:type="dxa"/>
              <w:right w:w="108" w:type="dxa"/>
            </w:tcMar>
            <w:hideMark/>
          </w:tcPr>
          <w:p w14:paraId="364C0CA4" w14:textId="486762A1" w:rsidR="005E366D" w:rsidRPr="005E366D" w:rsidRDefault="005E366D" w:rsidP="005E366D">
            <w:pPr>
              <w:jc w:val="center"/>
              <w:rPr>
                <w:rFonts w:ascii="Calibri" w:hAnsi="Calibri" w:cs="Calibri"/>
                <w:sz w:val="22"/>
                <w:szCs w:val="22"/>
              </w:rPr>
            </w:pPr>
            <w:r w:rsidRPr="005E366D">
              <w:rPr>
                <w:rFonts w:ascii="Calibri" w:hAnsi="Calibri" w:cs="Calibri"/>
                <w:sz w:val="22"/>
                <w:szCs w:val="22"/>
              </w:rPr>
              <w:t>29,344,690</w:t>
            </w:r>
          </w:p>
        </w:tc>
        <w:tc>
          <w:tcPr>
            <w:tcW w:w="1222" w:type="dxa"/>
            <w:tcBorders>
              <w:top w:val="nil"/>
              <w:left w:val="nil"/>
              <w:bottom w:val="single" w:sz="8" w:space="0" w:color="auto"/>
              <w:right w:val="single" w:sz="8" w:space="0" w:color="auto"/>
            </w:tcBorders>
            <w:noWrap/>
            <w:tcMar>
              <w:top w:w="0" w:type="dxa"/>
              <w:left w:w="108" w:type="dxa"/>
              <w:bottom w:w="0" w:type="dxa"/>
              <w:right w:w="108" w:type="dxa"/>
            </w:tcMar>
            <w:hideMark/>
          </w:tcPr>
          <w:p w14:paraId="1E8DBB7C" w14:textId="413F9AC5" w:rsidR="005E366D" w:rsidRPr="005E366D" w:rsidRDefault="005E366D" w:rsidP="005E366D">
            <w:pPr>
              <w:jc w:val="center"/>
              <w:rPr>
                <w:rFonts w:ascii="Calibri" w:hAnsi="Calibri" w:cs="Calibri"/>
                <w:sz w:val="22"/>
                <w:szCs w:val="22"/>
              </w:rPr>
            </w:pPr>
            <w:r w:rsidRPr="005E366D">
              <w:rPr>
                <w:rFonts w:ascii="Calibri" w:hAnsi="Calibri" w:cs="Calibri"/>
                <w:sz w:val="22"/>
                <w:szCs w:val="22"/>
              </w:rPr>
              <w:t>32,269,680</w:t>
            </w:r>
          </w:p>
        </w:tc>
        <w:tc>
          <w:tcPr>
            <w:tcW w:w="1222" w:type="dxa"/>
            <w:tcBorders>
              <w:top w:val="nil"/>
              <w:left w:val="nil"/>
              <w:bottom w:val="single" w:sz="8" w:space="0" w:color="auto"/>
              <w:right w:val="single" w:sz="8" w:space="0" w:color="auto"/>
            </w:tcBorders>
            <w:noWrap/>
            <w:tcMar>
              <w:top w:w="0" w:type="dxa"/>
              <w:left w:w="108" w:type="dxa"/>
              <w:bottom w:w="0" w:type="dxa"/>
              <w:right w:w="108" w:type="dxa"/>
            </w:tcMar>
            <w:hideMark/>
          </w:tcPr>
          <w:p w14:paraId="3E5E3799" w14:textId="40216111" w:rsidR="005E366D" w:rsidRPr="005E366D" w:rsidRDefault="005E366D" w:rsidP="005E366D">
            <w:pPr>
              <w:jc w:val="center"/>
              <w:rPr>
                <w:rFonts w:ascii="Calibri" w:hAnsi="Calibri" w:cs="Calibri"/>
                <w:sz w:val="22"/>
                <w:szCs w:val="22"/>
              </w:rPr>
            </w:pPr>
            <w:r w:rsidRPr="005E366D">
              <w:rPr>
                <w:rFonts w:ascii="Calibri" w:hAnsi="Calibri" w:cs="Calibri"/>
                <w:sz w:val="22"/>
                <w:szCs w:val="22"/>
              </w:rPr>
              <w:t>35,434,780</w:t>
            </w:r>
          </w:p>
        </w:tc>
        <w:tc>
          <w:tcPr>
            <w:tcW w:w="1222" w:type="dxa"/>
            <w:tcBorders>
              <w:top w:val="nil"/>
              <w:left w:val="nil"/>
              <w:bottom w:val="single" w:sz="8" w:space="0" w:color="auto"/>
              <w:right w:val="single" w:sz="8" w:space="0" w:color="auto"/>
            </w:tcBorders>
            <w:noWrap/>
            <w:tcMar>
              <w:top w:w="0" w:type="dxa"/>
              <w:left w:w="108" w:type="dxa"/>
              <w:bottom w:w="0" w:type="dxa"/>
              <w:right w:w="108" w:type="dxa"/>
            </w:tcMar>
            <w:hideMark/>
          </w:tcPr>
          <w:p w14:paraId="3F87C139" w14:textId="5B95996C" w:rsidR="005E366D" w:rsidRPr="005E366D" w:rsidRDefault="005E366D" w:rsidP="005E366D">
            <w:pPr>
              <w:jc w:val="center"/>
              <w:rPr>
                <w:rFonts w:ascii="Calibri" w:hAnsi="Calibri" w:cs="Calibri"/>
                <w:sz w:val="22"/>
                <w:szCs w:val="22"/>
              </w:rPr>
            </w:pPr>
            <w:r w:rsidRPr="005E366D">
              <w:rPr>
                <w:rFonts w:ascii="Calibri" w:hAnsi="Calibri" w:cs="Calibri"/>
                <w:sz w:val="22"/>
                <w:szCs w:val="22"/>
              </w:rPr>
              <w:t>42,503,040</w:t>
            </w:r>
          </w:p>
        </w:tc>
      </w:tr>
    </w:tbl>
    <w:p w14:paraId="3823516C" w14:textId="77777777" w:rsidR="005E366D" w:rsidRPr="005E366D" w:rsidRDefault="005E366D" w:rsidP="005E366D">
      <w:pPr>
        <w:rPr>
          <w:rFonts w:ascii="Calibri" w:hAnsi="Calibri" w:cs="Calibri"/>
          <w:sz w:val="22"/>
          <w:szCs w:val="22"/>
        </w:rPr>
      </w:pPr>
    </w:p>
    <w:p w14:paraId="56D606F7" w14:textId="0BCC23AE"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 xml:space="preserve">3. The total cost of employing agency (temporary / non-staff) social workers per year each year for the last five years </w:t>
      </w:r>
    </w:p>
    <w:tbl>
      <w:tblPr>
        <w:tblW w:w="0" w:type="auto"/>
        <w:tblCellMar>
          <w:left w:w="0" w:type="dxa"/>
          <w:right w:w="0" w:type="dxa"/>
        </w:tblCellMar>
        <w:tblLook w:val="04A0" w:firstRow="1" w:lastRow="0" w:firstColumn="1" w:lastColumn="0" w:noHBand="0" w:noVBand="1"/>
      </w:tblPr>
      <w:tblGrid>
        <w:gridCol w:w="1553"/>
        <w:gridCol w:w="1397"/>
        <w:gridCol w:w="1438"/>
        <w:gridCol w:w="1397"/>
        <w:gridCol w:w="1438"/>
        <w:gridCol w:w="1417"/>
      </w:tblGrid>
      <w:tr w:rsidR="005E366D" w:rsidRPr="005E366D" w14:paraId="3540F341" w14:textId="77777777">
        <w:trPr>
          <w:trHeight w:val="258"/>
        </w:trPr>
        <w:tc>
          <w:tcPr>
            <w:tcW w:w="15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BD6147C"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Financial Year</w:t>
            </w:r>
          </w:p>
        </w:tc>
        <w:tc>
          <w:tcPr>
            <w:tcW w:w="139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EDCC253"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2020</w:t>
            </w:r>
          </w:p>
        </w:tc>
        <w:tc>
          <w:tcPr>
            <w:tcW w:w="143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617A592"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2021</w:t>
            </w:r>
          </w:p>
        </w:tc>
        <w:tc>
          <w:tcPr>
            <w:tcW w:w="139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437AD74"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2022</w:t>
            </w:r>
          </w:p>
        </w:tc>
        <w:tc>
          <w:tcPr>
            <w:tcW w:w="143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0605B2"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2023</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D154D3C" w14:textId="77777777" w:rsidR="005E366D" w:rsidRPr="005E366D" w:rsidRDefault="005E366D" w:rsidP="005E366D">
            <w:pPr>
              <w:jc w:val="center"/>
              <w:rPr>
                <w:rFonts w:ascii="Calibri" w:hAnsi="Calibri" w:cs="Calibri"/>
                <w:b/>
                <w:bCs/>
                <w:sz w:val="22"/>
                <w:szCs w:val="22"/>
              </w:rPr>
            </w:pPr>
            <w:r w:rsidRPr="005E366D">
              <w:rPr>
                <w:rFonts w:ascii="Calibri" w:hAnsi="Calibri" w:cs="Calibri"/>
                <w:b/>
                <w:bCs/>
                <w:sz w:val="22"/>
                <w:szCs w:val="22"/>
              </w:rPr>
              <w:t>2024</w:t>
            </w:r>
          </w:p>
        </w:tc>
      </w:tr>
      <w:tr w:rsidR="005E366D" w:rsidRPr="005E366D" w14:paraId="730F3E2F" w14:textId="77777777">
        <w:trPr>
          <w:trHeight w:val="258"/>
        </w:trPr>
        <w:tc>
          <w:tcPr>
            <w:tcW w:w="155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C0D337"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Actual Spend</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hideMark/>
          </w:tcPr>
          <w:p w14:paraId="5B73AD36" w14:textId="77777777" w:rsidR="005E366D" w:rsidRPr="005E366D" w:rsidRDefault="005E366D" w:rsidP="005E366D">
            <w:pPr>
              <w:jc w:val="center"/>
              <w:rPr>
                <w:rFonts w:ascii="Calibri" w:hAnsi="Calibri" w:cs="Calibri"/>
                <w:sz w:val="22"/>
                <w:szCs w:val="22"/>
              </w:rPr>
            </w:pPr>
            <w:r w:rsidRPr="005E366D">
              <w:rPr>
                <w:rFonts w:ascii="Calibri" w:hAnsi="Calibri" w:cs="Calibri"/>
                <w:sz w:val="22"/>
                <w:szCs w:val="22"/>
              </w:rPr>
              <w:t>2,610,800</w:t>
            </w:r>
          </w:p>
        </w:tc>
        <w:tc>
          <w:tcPr>
            <w:tcW w:w="1438" w:type="dxa"/>
            <w:tcBorders>
              <w:top w:val="nil"/>
              <w:left w:val="nil"/>
              <w:bottom w:val="single" w:sz="8" w:space="0" w:color="auto"/>
              <w:right w:val="single" w:sz="8" w:space="0" w:color="auto"/>
            </w:tcBorders>
            <w:noWrap/>
            <w:tcMar>
              <w:top w:w="0" w:type="dxa"/>
              <w:left w:w="108" w:type="dxa"/>
              <w:bottom w:w="0" w:type="dxa"/>
              <w:right w:w="108" w:type="dxa"/>
            </w:tcMar>
            <w:hideMark/>
          </w:tcPr>
          <w:p w14:paraId="7FC8CE59" w14:textId="77777777" w:rsidR="005E366D" w:rsidRPr="005E366D" w:rsidRDefault="005E366D" w:rsidP="005E366D">
            <w:pPr>
              <w:jc w:val="center"/>
              <w:rPr>
                <w:rFonts w:ascii="Calibri" w:hAnsi="Calibri" w:cs="Calibri"/>
                <w:sz w:val="22"/>
                <w:szCs w:val="22"/>
              </w:rPr>
            </w:pPr>
            <w:r w:rsidRPr="005E366D">
              <w:rPr>
                <w:rFonts w:ascii="Calibri" w:hAnsi="Calibri" w:cs="Calibri"/>
                <w:sz w:val="22"/>
                <w:szCs w:val="22"/>
              </w:rPr>
              <w:t>1,770,200</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hideMark/>
          </w:tcPr>
          <w:p w14:paraId="55A13573" w14:textId="77777777" w:rsidR="005E366D" w:rsidRPr="005E366D" w:rsidRDefault="005E366D" w:rsidP="005E366D">
            <w:pPr>
              <w:jc w:val="center"/>
              <w:rPr>
                <w:rFonts w:ascii="Calibri" w:hAnsi="Calibri" w:cs="Calibri"/>
                <w:sz w:val="22"/>
                <w:szCs w:val="22"/>
              </w:rPr>
            </w:pPr>
            <w:r w:rsidRPr="005E366D">
              <w:rPr>
                <w:rFonts w:ascii="Calibri" w:hAnsi="Calibri" w:cs="Calibri"/>
                <w:sz w:val="22"/>
                <w:szCs w:val="22"/>
              </w:rPr>
              <w:t>2,057,300</w:t>
            </w:r>
          </w:p>
        </w:tc>
        <w:tc>
          <w:tcPr>
            <w:tcW w:w="1438" w:type="dxa"/>
            <w:tcBorders>
              <w:top w:val="nil"/>
              <w:left w:val="nil"/>
              <w:bottom w:val="single" w:sz="8" w:space="0" w:color="auto"/>
              <w:right w:val="single" w:sz="8" w:space="0" w:color="auto"/>
            </w:tcBorders>
            <w:noWrap/>
            <w:tcMar>
              <w:top w:w="0" w:type="dxa"/>
              <w:left w:w="108" w:type="dxa"/>
              <w:bottom w:w="0" w:type="dxa"/>
              <w:right w:w="108" w:type="dxa"/>
            </w:tcMar>
            <w:hideMark/>
          </w:tcPr>
          <w:p w14:paraId="248C6634" w14:textId="77777777" w:rsidR="005E366D" w:rsidRPr="005E366D" w:rsidRDefault="005E366D" w:rsidP="005E366D">
            <w:pPr>
              <w:jc w:val="center"/>
              <w:rPr>
                <w:rFonts w:ascii="Calibri" w:hAnsi="Calibri" w:cs="Calibri"/>
                <w:sz w:val="22"/>
                <w:szCs w:val="22"/>
              </w:rPr>
            </w:pPr>
            <w:r w:rsidRPr="005E366D">
              <w:rPr>
                <w:rFonts w:ascii="Calibri" w:hAnsi="Calibri" w:cs="Calibri"/>
                <w:sz w:val="22"/>
                <w:szCs w:val="22"/>
              </w:rPr>
              <w:t>2,184,500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14:paraId="3939A22C" w14:textId="77777777" w:rsidR="005E366D" w:rsidRPr="005E366D" w:rsidRDefault="005E366D" w:rsidP="005E366D">
            <w:pPr>
              <w:jc w:val="center"/>
              <w:rPr>
                <w:rFonts w:ascii="Calibri" w:hAnsi="Calibri" w:cs="Calibri"/>
                <w:sz w:val="22"/>
                <w:szCs w:val="22"/>
              </w:rPr>
            </w:pPr>
            <w:r w:rsidRPr="005E366D">
              <w:rPr>
                <w:rFonts w:ascii="Calibri" w:hAnsi="Calibri" w:cs="Calibri"/>
                <w:sz w:val="22"/>
                <w:szCs w:val="22"/>
              </w:rPr>
              <w:t>1,493,200</w:t>
            </w:r>
          </w:p>
        </w:tc>
      </w:tr>
    </w:tbl>
    <w:p w14:paraId="432F9471" w14:textId="77777777" w:rsidR="005E366D" w:rsidRPr="005E366D" w:rsidRDefault="005E366D" w:rsidP="005E366D">
      <w:pPr>
        <w:rPr>
          <w:rFonts w:ascii="Calibri" w:hAnsi="Calibri" w:cs="Calibri"/>
          <w:sz w:val="22"/>
          <w:szCs w:val="22"/>
        </w:rPr>
      </w:pPr>
      <w:r w:rsidRPr="005E366D">
        <w:rPr>
          <w:rFonts w:ascii="Calibri" w:hAnsi="Calibri" w:cs="Calibri"/>
          <w:sz w:val="22"/>
          <w:szCs w:val="22"/>
        </w:rPr>
        <w:t>Figures are rounded to nearest hundred.</w:t>
      </w:r>
    </w:p>
    <w:p w14:paraId="135E89D2" w14:textId="77777777" w:rsidR="005E366D" w:rsidRPr="005E366D" w:rsidRDefault="005E366D" w:rsidP="005E366D">
      <w:pPr>
        <w:rPr>
          <w:rFonts w:ascii="Calibri" w:hAnsi="Calibri" w:cs="Calibri"/>
          <w:sz w:val="16"/>
          <w:szCs w:val="16"/>
        </w:rPr>
      </w:pPr>
    </w:p>
    <w:p w14:paraId="2CD9FDCE" w14:textId="5D6A63E7" w:rsidR="005E366D" w:rsidRPr="005E366D" w:rsidRDefault="005E366D" w:rsidP="005E366D">
      <w:pPr>
        <w:rPr>
          <w:rFonts w:ascii="Calibri" w:hAnsi="Calibri" w:cs="Calibri"/>
          <w:sz w:val="22"/>
          <w:szCs w:val="22"/>
        </w:rPr>
      </w:pPr>
      <w:r w:rsidRPr="005E366D">
        <w:rPr>
          <w:rFonts w:ascii="Calibri" w:hAnsi="Calibri" w:cs="Calibri"/>
          <w:b/>
          <w:bCs/>
          <w:sz w:val="22"/>
          <w:szCs w:val="22"/>
        </w:rPr>
        <w:t>4. Total expenditure on housing children and young adults in non-local authority (</w:t>
      </w:r>
      <w:proofErr w:type="spellStart"/>
      <w:r w:rsidRPr="005E366D">
        <w:rPr>
          <w:rFonts w:ascii="Calibri" w:hAnsi="Calibri" w:cs="Calibri"/>
          <w:b/>
          <w:bCs/>
          <w:sz w:val="22"/>
          <w:szCs w:val="22"/>
        </w:rPr>
        <w:t>ie</w:t>
      </w:r>
      <w:proofErr w:type="spellEnd"/>
      <w:r w:rsidRPr="005E366D">
        <w:rPr>
          <w:rFonts w:ascii="Calibri" w:hAnsi="Calibri" w:cs="Calibri"/>
          <w:b/>
          <w:bCs/>
          <w:sz w:val="22"/>
          <w:szCs w:val="22"/>
        </w:rPr>
        <w:t>. privately run) children’s homes per year each year for the last five years, and the average cost per child per annum for such placements in each year for the last five years</w:t>
      </w:r>
      <w:r w:rsidRPr="005E366D">
        <w:rPr>
          <w:rFonts w:ascii="Calibri" w:hAnsi="Calibri" w:cs="Calibri"/>
          <w:sz w:val="22"/>
          <w:szCs w:val="22"/>
        </w:rPr>
        <w:t xml:space="preserve">                </w:t>
      </w:r>
    </w:p>
    <w:tbl>
      <w:tblPr>
        <w:tblW w:w="0" w:type="auto"/>
        <w:tblCellMar>
          <w:left w:w="0" w:type="dxa"/>
          <w:right w:w="0" w:type="dxa"/>
        </w:tblCellMar>
        <w:tblLook w:val="04A0" w:firstRow="1" w:lastRow="0" w:firstColumn="1" w:lastColumn="0" w:noHBand="0" w:noVBand="1"/>
      </w:tblPr>
      <w:tblGrid>
        <w:gridCol w:w="2141"/>
        <w:gridCol w:w="1393"/>
        <w:gridCol w:w="1347"/>
        <w:gridCol w:w="1405"/>
        <w:gridCol w:w="1385"/>
        <w:gridCol w:w="1335"/>
      </w:tblGrid>
      <w:tr w:rsidR="005E366D" w:rsidRPr="005E366D" w14:paraId="13C4F21B" w14:textId="77777777" w:rsidTr="005E366D">
        <w:trPr>
          <w:trHeight w:val="258"/>
        </w:trPr>
        <w:tc>
          <w:tcPr>
            <w:tcW w:w="21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1EA8A5F"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Financial Year</w:t>
            </w:r>
          </w:p>
        </w:tc>
        <w:tc>
          <w:tcPr>
            <w:tcW w:w="1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DCB43BD"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2020</w:t>
            </w:r>
          </w:p>
        </w:tc>
        <w:tc>
          <w:tcPr>
            <w:tcW w:w="134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9F292B5"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2021</w:t>
            </w:r>
          </w:p>
        </w:tc>
        <w:tc>
          <w:tcPr>
            <w:tcW w:w="140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9F31CEB"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2022</w:t>
            </w:r>
          </w:p>
        </w:tc>
        <w:tc>
          <w:tcPr>
            <w:tcW w:w="13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EA9442F"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2023</w:t>
            </w:r>
          </w:p>
        </w:tc>
        <w:tc>
          <w:tcPr>
            <w:tcW w:w="133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EA96644"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2024</w:t>
            </w:r>
          </w:p>
        </w:tc>
      </w:tr>
      <w:tr w:rsidR="005E366D" w:rsidRPr="005E366D" w14:paraId="69C49041" w14:textId="77777777" w:rsidTr="005E366D">
        <w:trPr>
          <w:trHeight w:val="258"/>
        </w:trPr>
        <w:tc>
          <w:tcPr>
            <w:tcW w:w="21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88C084"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Total Cost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6A4E3F19"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2,133,433.54</w:t>
            </w:r>
          </w:p>
        </w:tc>
        <w:tc>
          <w:tcPr>
            <w:tcW w:w="1347" w:type="dxa"/>
            <w:tcBorders>
              <w:top w:val="nil"/>
              <w:left w:val="nil"/>
              <w:bottom w:val="single" w:sz="8" w:space="0" w:color="auto"/>
              <w:right w:val="single" w:sz="8" w:space="0" w:color="auto"/>
            </w:tcBorders>
            <w:noWrap/>
            <w:tcMar>
              <w:top w:w="0" w:type="dxa"/>
              <w:left w:w="108" w:type="dxa"/>
              <w:bottom w:w="0" w:type="dxa"/>
              <w:right w:w="108" w:type="dxa"/>
            </w:tcMar>
            <w:hideMark/>
          </w:tcPr>
          <w:p w14:paraId="56D7964B"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2,427,201.87</w:t>
            </w:r>
          </w:p>
        </w:tc>
        <w:tc>
          <w:tcPr>
            <w:tcW w:w="1405" w:type="dxa"/>
            <w:tcBorders>
              <w:top w:val="nil"/>
              <w:left w:val="nil"/>
              <w:bottom w:val="single" w:sz="8" w:space="0" w:color="auto"/>
              <w:right w:val="single" w:sz="8" w:space="0" w:color="auto"/>
            </w:tcBorders>
            <w:noWrap/>
            <w:tcMar>
              <w:top w:w="0" w:type="dxa"/>
              <w:left w:w="108" w:type="dxa"/>
              <w:bottom w:w="0" w:type="dxa"/>
              <w:right w:w="108" w:type="dxa"/>
            </w:tcMar>
            <w:hideMark/>
          </w:tcPr>
          <w:p w14:paraId="27ADB0E3"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3,608,723.50</w:t>
            </w:r>
          </w:p>
        </w:tc>
        <w:tc>
          <w:tcPr>
            <w:tcW w:w="1385" w:type="dxa"/>
            <w:tcBorders>
              <w:top w:val="nil"/>
              <w:left w:val="nil"/>
              <w:bottom w:val="single" w:sz="8" w:space="0" w:color="auto"/>
              <w:right w:val="single" w:sz="8" w:space="0" w:color="auto"/>
            </w:tcBorders>
            <w:noWrap/>
            <w:tcMar>
              <w:top w:w="0" w:type="dxa"/>
              <w:left w:w="108" w:type="dxa"/>
              <w:bottom w:w="0" w:type="dxa"/>
              <w:right w:w="108" w:type="dxa"/>
            </w:tcMar>
            <w:hideMark/>
          </w:tcPr>
          <w:p w14:paraId="4D67AEAF"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5,057,155.24</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hideMark/>
          </w:tcPr>
          <w:p w14:paraId="1DA54E96"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5,979,861.82</w:t>
            </w:r>
          </w:p>
        </w:tc>
      </w:tr>
      <w:tr w:rsidR="005E366D" w:rsidRPr="005E366D" w14:paraId="6419BA07" w14:textId="77777777" w:rsidTr="005E366D">
        <w:trPr>
          <w:trHeight w:val="258"/>
        </w:trPr>
        <w:tc>
          <w:tcPr>
            <w:tcW w:w="21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DEFD8F"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Total Nights of Support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69B218A9"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5,798 </w:t>
            </w:r>
          </w:p>
        </w:tc>
        <w:tc>
          <w:tcPr>
            <w:tcW w:w="1347" w:type="dxa"/>
            <w:tcBorders>
              <w:top w:val="nil"/>
              <w:left w:val="nil"/>
              <w:bottom w:val="single" w:sz="8" w:space="0" w:color="auto"/>
              <w:right w:val="single" w:sz="8" w:space="0" w:color="auto"/>
            </w:tcBorders>
            <w:noWrap/>
            <w:tcMar>
              <w:top w:w="0" w:type="dxa"/>
              <w:left w:w="108" w:type="dxa"/>
              <w:bottom w:w="0" w:type="dxa"/>
              <w:right w:w="108" w:type="dxa"/>
            </w:tcMar>
            <w:hideMark/>
          </w:tcPr>
          <w:p w14:paraId="7068F0B2"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5,537 </w:t>
            </w:r>
          </w:p>
        </w:tc>
        <w:tc>
          <w:tcPr>
            <w:tcW w:w="1405" w:type="dxa"/>
            <w:tcBorders>
              <w:top w:val="nil"/>
              <w:left w:val="nil"/>
              <w:bottom w:val="single" w:sz="8" w:space="0" w:color="auto"/>
              <w:right w:val="single" w:sz="8" w:space="0" w:color="auto"/>
            </w:tcBorders>
            <w:noWrap/>
            <w:tcMar>
              <w:top w:w="0" w:type="dxa"/>
              <w:left w:w="108" w:type="dxa"/>
              <w:bottom w:w="0" w:type="dxa"/>
              <w:right w:w="108" w:type="dxa"/>
            </w:tcMar>
            <w:hideMark/>
          </w:tcPr>
          <w:p w14:paraId="04E6CCB0"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6,344 </w:t>
            </w:r>
          </w:p>
        </w:tc>
        <w:tc>
          <w:tcPr>
            <w:tcW w:w="1385" w:type="dxa"/>
            <w:tcBorders>
              <w:top w:val="nil"/>
              <w:left w:val="nil"/>
              <w:bottom w:val="single" w:sz="8" w:space="0" w:color="auto"/>
              <w:right w:val="single" w:sz="8" w:space="0" w:color="auto"/>
            </w:tcBorders>
            <w:noWrap/>
            <w:tcMar>
              <w:top w:w="0" w:type="dxa"/>
              <w:left w:w="108" w:type="dxa"/>
              <w:bottom w:w="0" w:type="dxa"/>
              <w:right w:w="108" w:type="dxa"/>
            </w:tcMar>
            <w:hideMark/>
          </w:tcPr>
          <w:p w14:paraId="25471E55"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7,439 </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hideMark/>
          </w:tcPr>
          <w:p w14:paraId="346364AB"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9,999 </w:t>
            </w:r>
          </w:p>
        </w:tc>
      </w:tr>
      <w:tr w:rsidR="005E366D" w:rsidRPr="005E366D" w14:paraId="69534F0A" w14:textId="77777777" w:rsidTr="005E366D">
        <w:trPr>
          <w:trHeight w:val="258"/>
        </w:trPr>
        <w:tc>
          <w:tcPr>
            <w:tcW w:w="21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028A70"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Average Cost per Night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5E85DA1B"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367.96 </w:t>
            </w:r>
          </w:p>
        </w:tc>
        <w:tc>
          <w:tcPr>
            <w:tcW w:w="1347" w:type="dxa"/>
            <w:tcBorders>
              <w:top w:val="nil"/>
              <w:left w:val="nil"/>
              <w:bottom w:val="single" w:sz="8" w:space="0" w:color="auto"/>
              <w:right w:val="single" w:sz="8" w:space="0" w:color="auto"/>
            </w:tcBorders>
            <w:noWrap/>
            <w:tcMar>
              <w:top w:w="0" w:type="dxa"/>
              <w:left w:w="108" w:type="dxa"/>
              <w:bottom w:w="0" w:type="dxa"/>
              <w:right w:w="108" w:type="dxa"/>
            </w:tcMar>
            <w:hideMark/>
          </w:tcPr>
          <w:p w14:paraId="500D1B78"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438.36 </w:t>
            </w:r>
          </w:p>
        </w:tc>
        <w:tc>
          <w:tcPr>
            <w:tcW w:w="1405" w:type="dxa"/>
            <w:tcBorders>
              <w:top w:val="nil"/>
              <w:left w:val="nil"/>
              <w:bottom w:val="single" w:sz="8" w:space="0" w:color="auto"/>
              <w:right w:val="single" w:sz="8" w:space="0" w:color="auto"/>
            </w:tcBorders>
            <w:noWrap/>
            <w:tcMar>
              <w:top w:w="0" w:type="dxa"/>
              <w:left w:w="108" w:type="dxa"/>
              <w:bottom w:w="0" w:type="dxa"/>
              <w:right w:w="108" w:type="dxa"/>
            </w:tcMar>
            <w:hideMark/>
          </w:tcPr>
          <w:p w14:paraId="21E3A662"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568.84 </w:t>
            </w:r>
          </w:p>
        </w:tc>
        <w:tc>
          <w:tcPr>
            <w:tcW w:w="1385" w:type="dxa"/>
            <w:tcBorders>
              <w:top w:val="nil"/>
              <w:left w:val="nil"/>
              <w:bottom w:val="single" w:sz="8" w:space="0" w:color="auto"/>
              <w:right w:val="single" w:sz="8" w:space="0" w:color="auto"/>
            </w:tcBorders>
            <w:noWrap/>
            <w:tcMar>
              <w:top w:w="0" w:type="dxa"/>
              <w:left w:w="108" w:type="dxa"/>
              <w:bottom w:w="0" w:type="dxa"/>
              <w:right w:w="108" w:type="dxa"/>
            </w:tcMar>
            <w:hideMark/>
          </w:tcPr>
          <w:p w14:paraId="3572C4A2"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679.82 </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hideMark/>
          </w:tcPr>
          <w:p w14:paraId="0EEE5C30"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598.05 </w:t>
            </w:r>
          </w:p>
        </w:tc>
      </w:tr>
      <w:tr w:rsidR="005E366D" w:rsidRPr="005E366D" w14:paraId="4E390365" w14:textId="77777777" w:rsidTr="005E366D">
        <w:trPr>
          <w:trHeight w:val="258"/>
        </w:trPr>
        <w:tc>
          <w:tcPr>
            <w:tcW w:w="21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0C15EA" w14:textId="77777777" w:rsidR="005E366D" w:rsidRPr="005E366D" w:rsidRDefault="005E366D" w:rsidP="005E366D">
            <w:pPr>
              <w:rPr>
                <w:rFonts w:ascii="Calibri" w:hAnsi="Calibri" w:cs="Calibri"/>
                <w:b/>
                <w:bCs/>
                <w:sz w:val="22"/>
                <w:szCs w:val="22"/>
              </w:rPr>
            </w:pPr>
            <w:r w:rsidRPr="005E366D">
              <w:rPr>
                <w:rFonts w:ascii="Calibri" w:hAnsi="Calibri" w:cs="Calibri"/>
                <w:b/>
                <w:bCs/>
                <w:sz w:val="22"/>
                <w:szCs w:val="22"/>
              </w:rPr>
              <w:t>Cost for FY at average cost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17F56"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134,305.49 </w:t>
            </w:r>
          </w:p>
        </w:tc>
        <w:tc>
          <w:tcPr>
            <w:tcW w:w="1347" w:type="dxa"/>
            <w:tcBorders>
              <w:top w:val="nil"/>
              <w:left w:val="nil"/>
              <w:bottom w:val="single" w:sz="8" w:space="0" w:color="auto"/>
              <w:right w:val="single" w:sz="8" w:space="0" w:color="auto"/>
            </w:tcBorders>
            <w:noWrap/>
            <w:tcMar>
              <w:top w:w="0" w:type="dxa"/>
              <w:left w:w="108" w:type="dxa"/>
              <w:bottom w:w="0" w:type="dxa"/>
              <w:right w:w="108" w:type="dxa"/>
            </w:tcMar>
            <w:hideMark/>
          </w:tcPr>
          <w:p w14:paraId="526ECB1A"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160,001.57 </w:t>
            </w:r>
          </w:p>
        </w:tc>
        <w:tc>
          <w:tcPr>
            <w:tcW w:w="1405" w:type="dxa"/>
            <w:tcBorders>
              <w:top w:val="nil"/>
              <w:left w:val="nil"/>
              <w:bottom w:val="single" w:sz="8" w:space="0" w:color="auto"/>
              <w:right w:val="single" w:sz="8" w:space="0" w:color="auto"/>
            </w:tcBorders>
            <w:noWrap/>
            <w:tcMar>
              <w:top w:w="0" w:type="dxa"/>
              <w:left w:w="108" w:type="dxa"/>
              <w:bottom w:w="0" w:type="dxa"/>
              <w:right w:w="108" w:type="dxa"/>
            </w:tcMar>
            <w:hideMark/>
          </w:tcPr>
          <w:p w14:paraId="7F727B82"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207,626.75 </w:t>
            </w:r>
          </w:p>
        </w:tc>
        <w:tc>
          <w:tcPr>
            <w:tcW w:w="1385" w:type="dxa"/>
            <w:tcBorders>
              <w:top w:val="nil"/>
              <w:left w:val="nil"/>
              <w:bottom w:val="single" w:sz="8" w:space="0" w:color="auto"/>
              <w:right w:val="single" w:sz="8" w:space="0" w:color="auto"/>
            </w:tcBorders>
            <w:noWrap/>
            <w:tcMar>
              <w:top w:w="0" w:type="dxa"/>
              <w:left w:w="108" w:type="dxa"/>
              <w:bottom w:w="0" w:type="dxa"/>
              <w:right w:w="108" w:type="dxa"/>
            </w:tcMar>
            <w:hideMark/>
          </w:tcPr>
          <w:p w14:paraId="65F92CF9"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248,133.04 </w:t>
            </w:r>
          </w:p>
        </w:tc>
        <w:tc>
          <w:tcPr>
            <w:tcW w:w="1335" w:type="dxa"/>
            <w:tcBorders>
              <w:top w:val="nil"/>
              <w:left w:val="nil"/>
              <w:bottom w:val="single" w:sz="8" w:space="0" w:color="auto"/>
              <w:right w:val="single" w:sz="8" w:space="0" w:color="auto"/>
            </w:tcBorders>
            <w:noWrap/>
            <w:tcMar>
              <w:top w:w="0" w:type="dxa"/>
              <w:left w:w="108" w:type="dxa"/>
              <w:bottom w:w="0" w:type="dxa"/>
              <w:right w:w="108" w:type="dxa"/>
            </w:tcMar>
            <w:hideMark/>
          </w:tcPr>
          <w:p w14:paraId="233F4B50" w14:textId="77777777" w:rsidR="005E366D" w:rsidRPr="005E366D" w:rsidRDefault="005E366D" w:rsidP="005E366D">
            <w:pPr>
              <w:rPr>
                <w:rFonts w:ascii="Calibri" w:hAnsi="Calibri" w:cs="Calibri"/>
                <w:sz w:val="20"/>
                <w:szCs w:val="20"/>
              </w:rPr>
            </w:pPr>
            <w:r w:rsidRPr="005E366D">
              <w:rPr>
                <w:rFonts w:ascii="Calibri" w:hAnsi="Calibri" w:cs="Calibri"/>
                <w:sz w:val="20"/>
                <w:szCs w:val="20"/>
              </w:rPr>
              <w:t xml:space="preserve">218,286.79 </w:t>
            </w:r>
          </w:p>
        </w:tc>
      </w:tr>
    </w:tbl>
    <w:p w14:paraId="5A3B1F40" w14:textId="77777777" w:rsidR="005E366D" w:rsidRPr="005E366D" w:rsidRDefault="005E366D" w:rsidP="005E366D">
      <w:pPr>
        <w:rPr>
          <w:rFonts w:ascii="Calibri" w:hAnsi="Calibri" w:cs="Calibri"/>
          <w:sz w:val="22"/>
          <w:szCs w:val="22"/>
        </w:rPr>
      </w:pPr>
      <w:r w:rsidRPr="005E366D">
        <w:rPr>
          <w:rFonts w:ascii="Calibri" w:hAnsi="Calibri" w:cs="Calibri"/>
          <w:sz w:val="22"/>
          <w:szCs w:val="22"/>
        </w:rPr>
        <w:t>Figures above include:</w:t>
      </w:r>
    </w:p>
    <w:p w14:paraId="292ABF2E" w14:textId="77777777" w:rsidR="005E366D" w:rsidRPr="005E366D" w:rsidRDefault="005E366D" w:rsidP="005E366D">
      <w:pPr>
        <w:numPr>
          <w:ilvl w:val="0"/>
          <w:numId w:val="1"/>
        </w:numPr>
        <w:rPr>
          <w:rFonts w:ascii="Calibri" w:hAnsi="Calibri" w:cs="Calibri"/>
          <w:sz w:val="22"/>
          <w:szCs w:val="22"/>
        </w:rPr>
      </w:pPr>
      <w:r w:rsidRPr="005E366D">
        <w:rPr>
          <w:rFonts w:ascii="Calibri" w:hAnsi="Calibri" w:cs="Calibri"/>
          <w:sz w:val="22"/>
          <w:szCs w:val="22"/>
        </w:rPr>
        <w:t>Parent &amp; Baby residential placements including assessments</w:t>
      </w:r>
    </w:p>
    <w:p w14:paraId="67F514E3" w14:textId="77777777" w:rsidR="005E366D" w:rsidRPr="005E366D" w:rsidRDefault="005E366D" w:rsidP="005E366D">
      <w:pPr>
        <w:numPr>
          <w:ilvl w:val="0"/>
          <w:numId w:val="1"/>
        </w:numPr>
        <w:rPr>
          <w:rFonts w:ascii="Calibri" w:hAnsi="Calibri" w:cs="Calibri"/>
          <w:sz w:val="22"/>
          <w:szCs w:val="22"/>
        </w:rPr>
      </w:pPr>
      <w:r w:rsidRPr="005E366D">
        <w:rPr>
          <w:rFonts w:ascii="Calibri" w:hAnsi="Calibri" w:cs="Calibri"/>
          <w:sz w:val="22"/>
          <w:szCs w:val="22"/>
        </w:rPr>
        <w:t>Unregistered residential</w:t>
      </w:r>
    </w:p>
    <w:p w14:paraId="402F25C0" w14:textId="77777777" w:rsidR="005E366D" w:rsidRPr="005E366D" w:rsidRDefault="005E366D" w:rsidP="005E366D">
      <w:pPr>
        <w:numPr>
          <w:ilvl w:val="0"/>
          <w:numId w:val="1"/>
        </w:numPr>
        <w:rPr>
          <w:rFonts w:ascii="Calibri" w:hAnsi="Calibri" w:cs="Calibri"/>
          <w:sz w:val="22"/>
          <w:szCs w:val="22"/>
        </w:rPr>
      </w:pPr>
      <w:r w:rsidRPr="005E366D">
        <w:rPr>
          <w:rFonts w:ascii="Calibri" w:hAnsi="Calibri" w:cs="Calibri"/>
          <w:sz w:val="22"/>
          <w:szCs w:val="22"/>
        </w:rPr>
        <w:lastRenderedPageBreak/>
        <w:t>Secure residential (excluding remand)</w:t>
      </w:r>
    </w:p>
    <w:p w14:paraId="6BC8160E" w14:textId="77777777" w:rsidR="005E366D" w:rsidRPr="005E366D" w:rsidRDefault="005E366D" w:rsidP="005E366D">
      <w:pPr>
        <w:numPr>
          <w:ilvl w:val="0"/>
          <w:numId w:val="1"/>
        </w:numPr>
        <w:rPr>
          <w:rFonts w:ascii="Calibri" w:hAnsi="Calibri" w:cs="Calibri"/>
          <w:sz w:val="22"/>
          <w:szCs w:val="22"/>
        </w:rPr>
      </w:pPr>
      <w:r w:rsidRPr="005E366D">
        <w:rPr>
          <w:rFonts w:ascii="Calibri" w:hAnsi="Calibri" w:cs="Calibri"/>
          <w:sz w:val="22"/>
          <w:szCs w:val="22"/>
        </w:rPr>
        <w:t>Net of health and education contributions</w:t>
      </w:r>
    </w:p>
    <w:p w14:paraId="6FE64086" w14:textId="77777777" w:rsidR="005E366D" w:rsidRPr="005E366D" w:rsidRDefault="005E366D" w:rsidP="005E366D">
      <w:pPr>
        <w:rPr>
          <w:rFonts w:ascii="Calibri" w:hAnsi="Calibri" w:cs="Calibri"/>
          <w:sz w:val="22"/>
          <w:szCs w:val="22"/>
        </w:rPr>
      </w:pPr>
      <w:r w:rsidRPr="005E366D">
        <w:rPr>
          <w:rFonts w:ascii="Calibri" w:hAnsi="Calibri" w:cs="Calibri"/>
          <w:sz w:val="22"/>
          <w:szCs w:val="22"/>
        </w:rPr>
        <w:t xml:space="preserve">Average is based off total cost divided by estimated total nights of support then multiplied by 365 to get an average cost per child. </w:t>
      </w:r>
    </w:p>
    <w:p w14:paraId="58B0F06C" w14:textId="77777777" w:rsidR="005E366D" w:rsidRPr="005E366D" w:rsidRDefault="005E366D" w:rsidP="005E366D">
      <w:pPr>
        <w:rPr>
          <w:rFonts w:ascii="Calibri" w:hAnsi="Calibri" w:cs="Calibri"/>
          <w:sz w:val="22"/>
          <w:szCs w:val="22"/>
        </w:rPr>
      </w:pPr>
    </w:p>
    <w:sectPr w:rsidR="005E366D" w:rsidRPr="005E3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3FC"/>
    <w:multiLevelType w:val="hybridMultilevel"/>
    <w:tmpl w:val="C6787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30035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6D"/>
    <w:rsid w:val="005E366D"/>
    <w:rsid w:val="00610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BB1C"/>
  <w15:chartTrackingRefBased/>
  <w15:docId w15:val="{AC7C208F-A1F7-4B5D-A168-38D94E93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6D"/>
    <w:rPr>
      <w:rFonts w:eastAsiaTheme="majorEastAsia" w:cstheme="majorBidi"/>
      <w:color w:val="272727" w:themeColor="text1" w:themeTint="D8"/>
    </w:rPr>
  </w:style>
  <w:style w:type="paragraph" w:styleId="Title">
    <w:name w:val="Title"/>
    <w:basedOn w:val="Normal"/>
    <w:next w:val="Normal"/>
    <w:link w:val="TitleChar"/>
    <w:uiPriority w:val="10"/>
    <w:qFormat/>
    <w:rsid w:val="005E3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6D"/>
    <w:pPr>
      <w:spacing w:before="160"/>
      <w:jc w:val="center"/>
    </w:pPr>
    <w:rPr>
      <w:i/>
      <w:iCs/>
      <w:color w:val="404040" w:themeColor="text1" w:themeTint="BF"/>
    </w:rPr>
  </w:style>
  <w:style w:type="character" w:customStyle="1" w:styleId="QuoteChar">
    <w:name w:val="Quote Char"/>
    <w:basedOn w:val="DefaultParagraphFont"/>
    <w:link w:val="Quote"/>
    <w:uiPriority w:val="29"/>
    <w:rsid w:val="005E366D"/>
    <w:rPr>
      <w:i/>
      <w:iCs/>
      <w:color w:val="404040" w:themeColor="text1" w:themeTint="BF"/>
    </w:rPr>
  </w:style>
  <w:style w:type="paragraph" w:styleId="ListParagraph">
    <w:name w:val="List Paragraph"/>
    <w:basedOn w:val="Normal"/>
    <w:uiPriority w:val="34"/>
    <w:qFormat/>
    <w:rsid w:val="005E366D"/>
    <w:pPr>
      <w:ind w:left="720"/>
      <w:contextualSpacing/>
    </w:pPr>
  </w:style>
  <w:style w:type="character" w:styleId="IntenseEmphasis">
    <w:name w:val="Intense Emphasis"/>
    <w:basedOn w:val="DefaultParagraphFont"/>
    <w:uiPriority w:val="21"/>
    <w:qFormat/>
    <w:rsid w:val="005E366D"/>
    <w:rPr>
      <w:i/>
      <w:iCs/>
      <w:color w:val="0F4761" w:themeColor="accent1" w:themeShade="BF"/>
    </w:rPr>
  </w:style>
  <w:style w:type="paragraph" w:styleId="IntenseQuote">
    <w:name w:val="Intense Quote"/>
    <w:basedOn w:val="Normal"/>
    <w:next w:val="Normal"/>
    <w:link w:val="IntenseQuoteChar"/>
    <w:uiPriority w:val="30"/>
    <w:qFormat/>
    <w:rsid w:val="005E3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6D"/>
    <w:rPr>
      <w:i/>
      <w:iCs/>
      <w:color w:val="0F4761" w:themeColor="accent1" w:themeShade="BF"/>
    </w:rPr>
  </w:style>
  <w:style w:type="character" w:styleId="IntenseReference">
    <w:name w:val="Intense Reference"/>
    <w:basedOn w:val="DefaultParagraphFont"/>
    <w:uiPriority w:val="32"/>
    <w:qFormat/>
    <w:rsid w:val="005E366D"/>
    <w:rPr>
      <w:b/>
      <w:bCs/>
      <w:smallCaps/>
      <w:color w:val="0F4761" w:themeColor="accent1" w:themeShade="BF"/>
      <w:spacing w:val="5"/>
    </w:rPr>
  </w:style>
  <w:style w:type="table" w:styleId="TableGrid">
    <w:name w:val="Table Grid"/>
    <w:basedOn w:val="TableNormal"/>
    <w:uiPriority w:val="39"/>
    <w:rsid w:val="005E3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1498</Characters>
  <Application>Microsoft Office Word</Application>
  <DocSecurity>0</DocSecurity>
  <Lines>115</Lines>
  <Paragraphs>88</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2026-02-11T06:57:00Z</dcterms:created>
  <dcterms:modified xsi:type="dcterms:W3CDTF">2026-02-11T07:07:00Z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2026-02-11T06:59:10Z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b4e90db4-5ab3-41ce-a707-f081309d9d5d</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