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E1CD" w14:textId="20FD03E8" w:rsidR="000D2C59" w:rsidRPr="000D2C59" w:rsidRDefault="000D2C59" w:rsidP="000D2C59">
      <w:pPr>
        <w:jc w:val="center"/>
        <w:rPr>
          <w:rFonts w:ascii="Calibri" w:hAnsi="Calibri" w:cs="Calibri"/>
          <w:b/>
          <w:bCs/>
          <w:sz w:val="22"/>
          <w:szCs w:val="22"/>
          <w:u w:val="single"/>
        </w:rPr>
      </w:pPr>
      <w:r w:rsidRPr="000D2C59">
        <w:rPr>
          <w:rFonts w:ascii="Calibri" w:hAnsi="Calibri" w:cs="Calibri"/>
          <w:b/>
          <w:bCs/>
          <w:sz w:val="22"/>
          <w:szCs w:val="22"/>
          <w:u w:val="single"/>
        </w:rPr>
        <w:t>WBCIR:21284</w:t>
      </w:r>
    </w:p>
    <w:p w14:paraId="43AC32CB" w14:textId="258BA90F" w:rsidR="000D2C59" w:rsidRPr="000D2C59" w:rsidRDefault="000D2C59">
      <w:r w:rsidRPr="000D2C59">
        <w:rPr>
          <w:rFonts w:ascii="Calibri" w:hAnsi="Calibri" w:cs="Calibri"/>
          <w:b/>
          <w:bCs/>
          <w:sz w:val="22"/>
          <w:szCs w:val="22"/>
        </w:rPr>
        <w:t>Please provide details of total expenditure incurred by the Local Authority in relation to SEND First-tier Tribunal (Special Educational Needs and Disability) appeals, for the last five completed financial years:</w:t>
      </w:r>
      <w:r w:rsidRPr="000D2C59">
        <w:rPr>
          <w:rFonts w:ascii="Calibri" w:hAnsi="Calibri" w:cs="Calibri"/>
          <w:b/>
          <w:bCs/>
          <w:sz w:val="22"/>
          <w:szCs w:val="22"/>
        </w:rPr>
        <w:br/>
        <w:t>• 2019/20</w:t>
      </w:r>
      <w:r w:rsidRPr="000D2C59">
        <w:rPr>
          <w:rFonts w:ascii="Calibri" w:hAnsi="Calibri" w:cs="Calibri"/>
          <w:b/>
          <w:bCs/>
          <w:sz w:val="22"/>
          <w:szCs w:val="22"/>
        </w:rPr>
        <w:br/>
        <w:t>• 2020/21</w:t>
      </w:r>
      <w:r w:rsidRPr="000D2C59">
        <w:rPr>
          <w:rFonts w:ascii="Calibri" w:hAnsi="Calibri" w:cs="Calibri"/>
          <w:b/>
          <w:bCs/>
          <w:sz w:val="22"/>
          <w:szCs w:val="22"/>
        </w:rPr>
        <w:br/>
        <w:t>• 2021/22</w:t>
      </w:r>
      <w:r w:rsidRPr="000D2C59">
        <w:rPr>
          <w:rFonts w:ascii="Calibri" w:hAnsi="Calibri" w:cs="Calibri"/>
          <w:b/>
          <w:bCs/>
          <w:sz w:val="22"/>
          <w:szCs w:val="22"/>
        </w:rPr>
        <w:br/>
        <w:t>• 2022/23</w:t>
      </w:r>
      <w:r w:rsidRPr="000D2C59">
        <w:rPr>
          <w:rFonts w:ascii="Calibri" w:hAnsi="Calibri" w:cs="Calibri"/>
          <w:b/>
          <w:bCs/>
          <w:sz w:val="22"/>
          <w:szCs w:val="22"/>
        </w:rPr>
        <w:br/>
        <w:t>• 2023/24</w:t>
      </w:r>
      <w:r w:rsidRPr="000D2C59">
        <w:rPr>
          <w:rFonts w:ascii="Calibri" w:hAnsi="Calibri" w:cs="Calibri"/>
          <w:b/>
          <w:bCs/>
          <w:sz w:val="22"/>
          <w:szCs w:val="22"/>
        </w:rPr>
        <w:br/>
        <w:t>(If finalised figures for 2023/24 are not yet available, please provide the most recent provisional data held.)</w:t>
      </w:r>
      <w:r w:rsidRPr="000D2C59">
        <w:rPr>
          <w:rFonts w:ascii="Calibri" w:hAnsi="Calibri" w:cs="Calibri"/>
          <w:b/>
          <w:bCs/>
          <w:sz w:val="22"/>
          <w:szCs w:val="22"/>
        </w:rPr>
        <w:br/>
      </w:r>
      <w:r w:rsidRPr="000D2C59">
        <w:rPr>
          <w:rFonts w:ascii="Calibri" w:hAnsi="Calibri" w:cs="Calibri"/>
          <w:b/>
          <w:bCs/>
          <w:sz w:val="22"/>
          <w:szCs w:val="22"/>
        </w:rPr>
        <w:br/>
        <w:t>For each financial year listed above, please provide total spend (rounded to the nearest £1,000 if necessary) for the following categories:</w:t>
      </w:r>
      <w:r w:rsidRPr="000D2C59">
        <w:rPr>
          <w:rFonts w:ascii="Calibri" w:hAnsi="Calibri" w:cs="Calibri"/>
          <w:b/>
          <w:bCs/>
          <w:sz w:val="22"/>
          <w:szCs w:val="22"/>
        </w:rPr>
        <w:br/>
        <w:t>1. External legal costs</w:t>
      </w:r>
      <w:r w:rsidRPr="000D2C59">
        <w:rPr>
          <w:rFonts w:ascii="Calibri" w:hAnsi="Calibri" w:cs="Calibri"/>
          <w:b/>
          <w:bCs/>
          <w:sz w:val="22"/>
          <w:szCs w:val="22"/>
        </w:rPr>
        <w:br/>
        <w:t>Including but not limited to:</w:t>
      </w:r>
      <w:r w:rsidRPr="000D2C59">
        <w:rPr>
          <w:rFonts w:ascii="Calibri" w:hAnsi="Calibri" w:cs="Calibri"/>
          <w:b/>
          <w:bCs/>
          <w:sz w:val="22"/>
          <w:szCs w:val="22"/>
        </w:rPr>
        <w:br/>
        <w:t>• Payments to solicitors, barristers, or legal firms relating to SEND tribunal cases</w:t>
      </w:r>
      <w:r w:rsidRPr="000D2C59">
        <w:rPr>
          <w:rFonts w:ascii="Calibri" w:hAnsi="Calibri" w:cs="Calibri"/>
          <w:b/>
          <w:bCs/>
          <w:sz w:val="22"/>
          <w:szCs w:val="22"/>
        </w:rPr>
        <w:br/>
        <w:t>• Retainer arrangements for SEND/EHCP tribunal work (please state whether a retainer exists and the annual value)</w:t>
      </w:r>
      <w:r w:rsidRPr="000D2C59">
        <w:rPr>
          <w:rFonts w:ascii="Calibri" w:hAnsi="Calibri" w:cs="Calibri"/>
          <w:b/>
          <w:bCs/>
          <w:sz w:val="22"/>
          <w:szCs w:val="22"/>
        </w:rPr>
        <w:br/>
        <w:t>• Disbursements and associated legal expenses</w:t>
      </w:r>
      <w:r w:rsidRPr="000D2C59">
        <w:rPr>
          <w:rFonts w:ascii="Calibri" w:hAnsi="Calibri" w:cs="Calibri"/>
          <w:b/>
          <w:bCs/>
          <w:sz w:val="22"/>
          <w:szCs w:val="22"/>
        </w:rPr>
        <w:br/>
      </w:r>
      <w:r w:rsidRPr="000D2C59">
        <w:rPr>
          <w:rFonts w:ascii="Calibri" w:hAnsi="Calibri" w:cs="Calibri"/>
          <w:b/>
          <w:bCs/>
          <w:sz w:val="22"/>
          <w:szCs w:val="22"/>
        </w:rPr>
        <w:br/>
        <w:t>2. Internal staffing and teams</w:t>
      </w:r>
      <w:r w:rsidRPr="000D2C59">
        <w:rPr>
          <w:rFonts w:ascii="Calibri" w:hAnsi="Calibri" w:cs="Calibri"/>
          <w:b/>
          <w:bCs/>
          <w:sz w:val="22"/>
          <w:szCs w:val="22"/>
        </w:rPr>
        <w:br/>
        <w:t>Including:</w:t>
      </w:r>
      <w:r w:rsidRPr="000D2C59">
        <w:rPr>
          <w:rFonts w:ascii="Calibri" w:hAnsi="Calibri" w:cs="Calibri"/>
          <w:b/>
          <w:bCs/>
          <w:sz w:val="22"/>
          <w:szCs w:val="22"/>
        </w:rPr>
        <w:br/>
        <w:t>• Costs associated with dedicated EHCP tribunal teams, SEND legal teams, or casework teams whose work includes tribunal preparation or attendance</w:t>
      </w:r>
      <w:r w:rsidRPr="000D2C59">
        <w:rPr>
          <w:rFonts w:ascii="Calibri" w:hAnsi="Calibri" w:cs="Calibri"/>
          <w:b/>
          <w:bCs/>
          <w:sz w:val="22"/>
          <w:szCs w:val="22"/>
        </w:rPr>
        <w:br/>
        <w:t>• Where specific tribunal teams do not exist, please provide estimated staffing costs attributable to tribunal-related work (e.g. percentage of role function)</w:t>
      </w:r>
      <w:r w:rsidRPr="000D2C59">
        <w:rPr>
          <w:rFonts w:ascii="Calibri" w:hAnsi="Calibri" w:cs="Calibri"/>
          <w:b/>
          <w:bCs/>
          <w:sz w:val="22"/>
          <w:szCs w:val="22"/>
        </w:rPr>
        <w:br/>
      </w:r>
      <w:r w:rsidRPr="000D2C59">
        <w:rPr>
          <w:rFonts w:ascii="Calibri" w:hAnsi="Calibri" w:cs="Calibri"/>
          <w:b/>
          <w:bCs/>
          <w:sz w:val="22"/>
          <w:szCs w:val="22"/>
        </w:rPr>
        <w:br/>
        <w:t>3. Complaints and dispute resolution linked to tribunals</w:t>
      </w:r>
      <w:r w:rsidRPr="000D2C59">
        <w:rPr>
          <w:rFonts w:ascii="Calibri" w:hAnsi="Calibri" w:cs="Calibri"/>
          <w:b/>
          <w:bCs/>
          <w:sz w:val="22"/>
          <w:szCs w:val="22"/>
        </w:rPr>
        <w:br/>
        <w:t>Including:</w:t>
      </w:r>
      <w:r w:rsidRPr="000D2C59">
        <w:rPr>
          <w:rFonts w:ascii="Calibri" w:hAnsi="Calibri" w:cs="Calibri"/>
          <w:b/>
          <w:bCs/>
          <w:sz w:val="22"/>
          <w:szCs w:val="22"/>
        </w:rPr>
        <w:br/>
        <w:t>• Costs associated with formal complaints, dispute resolution, mediation, or pre-tribunal processes where these relate to EHCP appeals</w:t>
      </w:r>
      <w:r w:rsidRPr="000D2C59">
        <w:rPr>
          <w:rFonts w:ascii="Calibri" w:hAnsi="Calibri" w:cs="Calibri"/>
          <w:b/>
          <w:bCs/>
          <w:sz w:val="22"/>
          <w:szCs w:val="22"/>
        </w:rPr>
        <w:br/>
      </w:r>
      <w:r w:rsidRPr="000D2C59">
        <w:rPr>
          <w:rFonts w:ascii="Calibri" w:hAnsi="Calibri" w:cs="Calibri"/>
          <w:b/>
          <w:bCs/>
          <w:sz w:val="22"/>
          <w:szCs w:val="22"/>
        </w:rPr>
        <w:br/>
        <w:t>4. Tribunal-related fees and charges</w:t>
      </w:r>
      <w:r w:rsidRPr="000D2C59">
        <w:rPr>
          <w:rFonts w:ascii="Calibri" w:hAnsi="Calibri" w:cs="Calibri"/>
          <w:b/>
          <w:bCs/>
          <w:sz w:val="22"/>
          <w:szCs w:val="22"/>
        </w:rPr>
        <w:br/>
        <w:t>Including:</w:t>
      </w:r>
      <w:r w:rsidRPr="000D2C59">
        <w:rPr>
          <w:rFonts w:ascii="Calibri" w:hAnsi="Calibri" w:cs="Calibri"/>
          <w:b/>
          <w:bCs/>
          <w:sz w:val="22"/>
          <w:szCs w:val="22"/>
        </w:rPr>
        <w:br/>
        <w:t>• Any payments made by the Local Authority in connection with SEND tribunal proceedings, including payments to HM Courts &amp; Tribunals Service (HMCTS), expert witnesses commissioned for tribunal purposes, or other tribunal-related charges where such costs are borne by the Local Authority</w:t>
      </w:r>
      <w:r w:rsidRPr="000D2C59">
        <w:rPr>
          <w:rFonts w:ascii="Calibri" w:hAnsi="Calibri" w:cs="Calibri"/>
          <w:b/>
          <w:bCs/>
          <w:sz w:val="22"/>
          <w:szCs w:val="22"/>
        </w:rPr>
        <w:br/>
      </w:r>
      <w:r w:rsidRPr="000D2C59">
        <w:rPr>
          <w:rFonts w:ascii="Calibri" w:hAnsi="Calibri" w:cs="Calibri"/>
          <w:b/>
          <w:bCs/>
          <w:sz w:val="22"/>
          <w:szCs w:val="22"/>
        </w:rPr>
        <w:br/>
      </w:r>
      <w:r w:rsidRPr="007E36CB">
        <w:t xml:space="preserve">Please see </w:t>
      </w:r>
      <w:r>
        <w:t>below table</w:t>
      </w:r>
      <w:r w:rsidRPr="007E36CB">
        <w:t>. We are unable to provide a detailed breakdown of legal costs, so the figures reported in the table represent the total external legal expenses for SEND tribunal cases. Where no value is shown, this indicates that no cost was incurred.</w:t>
      </w:r>
    </w:p>
    <w:p w14:paraId="1D1ABBFD" w14:textId="33C9115F" w:rsidR="004E7A67" w:rsidRPr="000D2C59" w:rsidRDefault="00E2741F">
      <w:pPr>
        <w:rPr>
          <w:rFonts w:ascii="Calibri" w:hAnsi="Calibri" w:cs="Calibri"/>
          <w:sz w:val="22"/>
          <w:szCs w:val="22"/>
        </w:rPr>
      </w:pPr>
      <w:r w:rsidRPr="000D2C59">
        <w:rPr>
          <w:rFonts w:ascii="Calibri" w:hAnsi="Calibri" w:cs="Calibri"/>
          <w:noProof/>
          <w:sz w:val="22"/>
          <w:szCs w:val="22"/>
        </w:rPr>
        <w:lastRenderedPageBreak/>
        <w:drawing>
          <wp:inline distT="0" distB="0" distL="0" distR="0" wp14:anchorId="724BEE87" wp14:editId="7FEFB3B1">
            <wp:extent cx="5731510" cy="1640205"/>
            <wp:effectExtent l="0" t="0" r="2540" b="0"/>
            <wp:docPr id="525731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1640205"/>
                    </a:xfrm>
                    <a:prstGeom prst="rect">
                      <a:avLst/>
                    </a:prstGeom>
                    <a:noFill/>
                    <a:ln>
                      <a:noFill/>
                    </a:ln>
                  </pic:spPr>
                </pic:pic>
              </a:graphicData>
            </a:graphic>
          </wp:inline>
        </w:drawing>
      </w:r>
    </w:p>
    <w:sectPr w:rsidR="004E7A67" w:rsidRPr="000D2C59">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B2E1" w14:textId="77777777" w:rsidR="005A7384" w:rsidRDefault="005A7384" w:rsidP="00E2741F">
      <w:pPr>
        <w:spacing w:after="0" w:line="240" w:lineRule="auto"/>
      </w:pPr>
      <w:r>
        <w:separator/>
      </w:r>
    </w:p>
  </w:endnote>
  <w:endnote w:type="continuationSeparator" w:id="0">
    <w:p w14:paraId="1829CCA5" w14:textId="77777777" w:rsidR="005A7384" w:rsidRDefault="005A7384" w:rsidP="00E2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56F7" w14:textId="597270AC" w:rsidR="00E2741F" w:rsidRDefault="00E27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A945" w14:textId="0E07B9E0" w:rsidR="00E2741F" w:rsidRDefault="00E27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B5C2" w14:textId="2C2B23C3" w:rsidR="00E2741F" w:rsidRDefault="00E27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DEEE" w14:textId="77777777" w:rsidR="005A7384" w:rsidRDefault="005A7384" w:rsidP="00E2741F">
      <w:pPr>
        <w:spacing w:after="0" w:line="240" w:lineRule="auto"/>
      </w:pPr>
      <w:r>
        <w:separator/>
      </w:r>
    </w:p>
  </w:footnote>
  <w:footnote w:type="continuationSeparator" w:id="0">
    <w:p w14:paraId="2591BDE8" w14:textId="77777777" w:rsidR="005A7384" w:rsidRDefault="005A7384" w:rsidP="00E274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1F"/>
    <w:rsid w:val="000D2C59"/>
    <w:rsid w:val="004E7A67"/>
    <w:rsid w:val="005A7384"/>
    <w:rsid w:val="006A04DF"/>
    <w:rsid w:val="008B0975"/>
    <w:rsid w:val="008D382A"/>
    <w:rsid w:val="00BD3827"/>
    <w:rsid w:val="00D17294"/>
    <w:rsid w:val="00E2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C498"/>
  <w15:chartTrackingRefBased/>
  <w15:docId w15:val="{68A6A372-7A33-458C-96B9-6A8F8265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41F"/>
    <w:rPr>
      <w:rFonts w:eastAsiaTheme="majorEastAsia" w:cstheme="majorBidi"/>
      <w:color w:val="272727" w:themeColor="text1" w:themeTint="D8"/>
    </w:rPr>
  </w:style>
  <w:style w:type="paragraph" w:styleId="Title">
    <w:name w:val="Title"/>
    <w:basedOn w:val="Normal"/>
    <w:next w:val="Normal"/>
    <w:link w:val="TitleChar"/>
    <w:uiPriority w:val="10"/>
    <w:qFormat/>
    <w:rsid w:val="00E27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41F"/>
    <w:pPr>
      <w:spacing w:before="160"/>
      <w:jc w:val="center"/>
    </w:pPr>
    <w:rPr>
      <w:i/>
      <w:iCs/>
      <w:color w:val="404040" w:themeColor="text1" w:themeTint="BF"/>
    </w:rPr>
  </w:style>
  <w:style w:type="character" w:customStyle="1" w:styleId="QuoteChar">
    <w:name w:val="Quote Char"/>
    <w:basedOn w:val="DefaultParagraphFont"/>
    <w:link w:val="Quote"/>
    <w:uiPriority w:val="29"/>
    <w:rsid w:val="00E2741F"/>
    <w:rPr>
      <w:i/>
      <w:iCs/>
      <w:color w:val="404040" w:themeColor="text1" w:themeTint="BF"/>
    </w:rPr>
  </w:style>
  <w:style w:type="paragraph" w:styleId="ListParagraph">
    <w:name w:val="List Paragraph"/>
    <w:basedOn w:val="Normal"/>
    <w:uiPriority w:val="34"/>
    <w:qFormat/>
    <w:rsid w:val="00E2741F"/>
    <w:pPr>
      <w:ind w:left="720"/>
      <w:contextualSpacing/>
    </w:pPr>
  </w:style>
  <w:style w:type="character" w:styleId="IntenseEmphasis">
    <w:name w:val="Intense Emphasis"/>
    <w:basedOn w:val="DefaultParagraphFont"/>
    <w:uiPriority w:val="21"/>
    <w:qFormat/>
    <w:rsid w:val="00E2741F"/>
    <w:rPr>
      <w:i/>
      <w:iCs/>
      <w:color w:val="0F4761" w:themeColor="accent1" w:themeShade="BF"/>
    </w:rPr>
  </w:style>
  <w:style w:type="paragraph" w:styleId="IntenseQuote">
    <w:name w:val="Intense Quote"/>
    <w:basedOn w:val="Normal"/>
    <w:next w:val="Normal"/>
    <w:link w:val="IntenseQuoteChar"/>
    <w:uiPriority w:val="30"/>
    <w:qFormat/>
    <w:rsid w:val="00E27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41F"/>
    <w:rPr>
      <w:i/>
      <w:iCs/>
      <w:color w:val="0F4761" w:themeColor="accent1" w:themeShade="BF"/>
    </w:rPr>
  </w:style>
  <w:style w:type="character" w:styleId="IntenseReference">
    <w:name w:val="Intense Reference"/>
    <w:basedOn w:val="DefaultParagraphFont"/>
    <w:uiPriority w:val="32"/>
    <w:qFormat/>
    <w:rsid w:val="00E2741F"/>
    <w:rPr>
      <w:b/>
      <w:bCs/>
      <w:smallCaps/>
      <w:color w:val="0F4761" w:themeColor="accent1" w:themeShade="BF"/>
      <w:spacing w:val="5"/>
    </w:rPr>
  </w:style>
  <w:style w:type="paragraph" w:styleId="Footer">
    <w:name w:val="footer"/>
    <w:basedOn w:val="Normal"/>
    <w:link w:val="FooterChar"/>
    <w:uiPriority w:val="99"/>
    <w:unhideWhenUsed/>
    <w:rsid w:val="00E27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13.png@01DCBC6F.9768ECE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1692</Characters>
  <Application>Microsoft Office Word</Application>
  <DocSecurity>0</DocSecurity>
  <Lines>47</Lines>
  <Paragraphs>1</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Jordan</dc:creator>
  <cp:keywords/>
  <dc:description/>
  <cp:lastModifiedBy>Frankie Lawrence</cp:lastModifiedBy>
  <cp:revision>2</cp:revision>
  <dcterms:created xsi:type="dcterms:W3CDTF">2026-03-30T14:10:00Z</dcterms:created>
  <dcterms:modified xsi:type="dcterms:W3CDTF">2026-03-30T14:10:00Z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2026-03-30T14:09:05Z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e7f88b16-09f8-4f9e-957c-6e42509b23a5</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