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2B1F" w14:textId="2824BFB0" w:rsidR="005F4DE5" w:rsidRPr="005F4DE5" w:rsidRDefault="005F4DE5" w:rsidP="005F4DE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5F4DE5">
        <w:rPr>
          <w:rFonts w:ascii="Calibri" w:hAnsi="Calibri" w:cs="Calibri"/>
          <w:b/>
          <w:bCs/>
          <w:sz w:val="22"/>
          <w:szCs w:val="22"/>
          <w:u w:val="single"/>
        </w:rPr>
        <w:t>WBCIR:21630</w:t>
      </w:r>
    </w:p>
    <w:p w14:paraId="4304A5CB" w14:textId="4278C3AA" w:rsidR="005F4DE5" w:rsidRPr="005F4DE5" w:rsidRDefault="005F4DE5" w:rsidP="005F4DE5">
      <w:pPr>
        <w:rPr>
          <w:rFonts w:ascii="Calibri" w:hAnsi="Calibri" w:cs="Calibri"/>
          <w:b/>
          <w:bCs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t>Under the Freedom of Information Act 2000, please provide the following for every state-funded primary and secondary school in your local authority for National Offer Day 2025 and National Offer Day 2026:</w:t>
      </w:r>
      <w:r w:rsidRPr="005F4DE5">
        <w:rPr>
          <w:rFonts w:ascii="Calibri" w:hAnsi="Calibri" w:cs="Calibri"/>
          <w:b/>
          <w:bCs/>
          <w:sz w:val="22"/>
          <w:szCs w:val="22"/>
        </w:rPr>
        <w:br/>
      </w:r>
      <w:r w:rsidRPr="005F4DE5">
        <w:rPr>
          <w:rFonts w:ascii="Calibri" w:hAnsi="Calibri" w:cs="Calibri"/>
          <w:b/>
          <w:bCs/>
          <w:sz w:val="22"/>
          <w:szCs w:val="22"/>
        </w:rPr>
        <w:br/>
        <w:t xml:space="preserve">1. The </w:t>
      </w:r>
      <w:proofErr w:type="gramStart"/>
      <w:r w:rsidRPr="005F4DE5">
        <w:rPr>
          <w:rFonts w:ascii="Calibri" w:hAnsi="Calibri" w:cs="Calibri"/>
          <w:b/>
          <w:bCs/>
          <w:sz w:val="22"/>
          <w:szCs w:val="22"/>
        </w:rPr>
        <w:t>school</w:t>
      </w:r>
      <w:proofErr w:type="gramEnd"/>
      <w:r w:rsidRPr="005F4DE5">
        <w:rPr>
          <w:rFonts w:ascii="Calibri" w:hAnsi="Calibri" w:cs="Calibri"/>
          <w:b/>
          <w:bCs/>
          <w:sz w:val="22"/>
          <w:szCs w:val="22"/>
        </w:rPr>
        <w:t xml:space="preserve"> name and DfE URN</w:t>
      </w:r>
    </w:p>
    <w:tbl>
      <w:tblPr>
        <w:tblW w:w="4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1420"/>
      </w:tblGrid>
      <w:tr w:rsidR="005F4DE5" w:rsidRPr="005F4DE5" w14:paraId="7879669B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942F3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A34D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b/>
                <w:bCs/>
                <w:sz w:val="22"/>
                <w:szCs w:val="22"/>
              </w:rPr>
              <w:t> DfE Number</w:t>
            </w:r>
          </w:p>
        </w:tc>
      </w:tr>
      <w:tr w:rsidR="005F4DE5" w:rsidRPr="005F4DE5" w14:paraId="61E9A54E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FC04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22DFC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b/>
                <w:bCs/>
                <w:sz w:val="22"/>
                <w:szCs w:val="22"/>
              </w:rPr>
              <w:t>Primary Schools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FC04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B091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4DE5" w:rsidRPr="005F4DE5" w14:paraId="6EDB9CC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7804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Alder Grove CofE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0B63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</w:tr>
      <w:tr w:rsidR="005F4DE5" w:rsidRPr="005F4DE5" w14:paraId="2A2DCF61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A194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Aldryngton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82E8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2116</w:t>
            </w:r>
          </w:p>
        </w:tc>
      </w:tr>
      <w:tr w:rsidR="005F4DE5" w:rsidRPr="005F4DE5" w14:paraId="05BB8E2F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98A0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All Saints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083C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3372</w:t>
            </w:r>
          </w:p>
        </w:tc>
      </w:tr>
      <w:tr w:rsidR="005F4DE5" w:rsidRPr="005F4DE5" w14:paraId="576A819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A5959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Bearwood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26E9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2100</w:t>
            </w:r>
          </w:p>
        </w:tc>
      </w:tr>
      <w:tr w:rsidR="005F4DE5" w:rsidRPr="005F4DE5" w14:paraId="11AA818E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A175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Beechwood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DE86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</w:tr>
      <w:tr w:rsidR="005F4DE5" w:rsidRPr="005F4DE5" w14:paraId="4A5F5C29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38E3E6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Crazies Hill CofE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BDB0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3048</w:t>
            </w:r>
          </w:p>
        </w:tc>
      </w:tr>
      <w:tr w:rsidR="005F4DE5" w:rsidRPr="005F4DE5" w14:paraId="1F177F56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F73F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Earley St Peter's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0271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3312</w:t>
            </w:r>
          </w:p>
        </w:tc>
      </w:tr>
      <w:tr w:rsidR="005F4DE5" w:rsidRPr="005F4DE5" w14:paraId="06E040D4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CB6A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Emmbrook Infant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7BED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2121</w:t>
            </w:r>
          </w:p>
        </w:tc>
      </w:tr>
      <w:tr w:rsidR="005F4DE5" w:rsidRPr="005F4DE5" w14:paraId="6AE64D2F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3C3E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Evendons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E77C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2002</w:t>
            </w:r>
          </w:p>
        </w:tc>
      </w:tr>
      <w:tr w:rsidR="005F4DE5" w:rsidRPr="005F4DE5" w14:paraId="2E46036F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BE4E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Farley Hill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87FA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2088</w:t>
            </w:r>
          </w:p>
        </w:tc>
      </w:tr>
      <w:tr w:rsidR="005F4DE5" w:rsidRPr="005F4DE5" w14:paraId="69228CEF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E840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Finchampstead 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BDE0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3315</w:t>
            </w:r>
          </w:p>
        </w:tc>
      </w:tr>
      <w:tr w:rsidR="005F4DE5" w:rsidRPr="005F4DE5" w14:paraId="02F83FDE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5A276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Floreat Montague Park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66973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2003</w:t>
            </w:r>
          </w:p>
        </w:tc>
      </w:tr>
      <w:tr w:rsidR="005F4DE5" w:rsidRPr="005F4DE5" w14:paraId="71E9D5DF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6C80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Gorse Ride Infants'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42D46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2232</w:t>
            </w:r>
          </w:p>
        </w:tc>
      </w:tr>
      <w:tr w:rsidR="005F4DE5" w:rsidRPr="005F4DE5" w14:paraId="2433E901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EBBC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Grazeley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 xml:space="preserve"> Parochial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7A7F9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3319</w:t>
            </w:r>
          </w:p>
        </w:tc>
      </w:tr>
      <w:tr w:rsidR="005F4DE5" w:rsidRPr="005F4DE5" w14:paraId="4ADE2B69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E944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Hatch Ride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AEAC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2163</w:t>
            </w:r>
          </w:p>
        </w:tc>
      </w:tr>
      <w:tr w:rsidR="005F4DE5" w:rsidRPr="005F4DE5" w14:paraId="13446F2F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447D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Hawkedon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5D8A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2237</w:t>
            </w:r>
          </w:p>
        </w:tc>
      </w:tr>
      <w:tr w:rsidR="005F4DE5" w:rsidRPr="005F4DE5" w14:paraId="508BEEB9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A179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Highwood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8F56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2246</w:t>
            </w:r>
          </w:p>
        </w:tc>
      </w:tr>
      <w:tr w:rsidR="005F4DE5" w:rsidRPr="005F4DE5" w14:paraId="4EA2EBF6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21BC8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Hillside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082B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2238</w:t>
            </w:r>
          </w:p>
        </w:tc>
      </w:tr>
      <w:tr w:rsidR="005F4DE5" w:rsidRPr="005F4DE5" w14:paraId="34F87BBA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31B86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Keep Hatch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3D7B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2106</w:t>
            </w:r>
          </w:p>
        </w:tc>
      </w:tr>
      <w:tr w:rsidR="005F4DE5" w:rsidRPr="005F4DE5" w14:paraId="4028FE6E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F5108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Lambs Lane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47E2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2089</w:t>
            </w:r>
          </w:p>
        </w:tc>
      </w:tr>
      <w:tr w:rsidR="005F4DE5" w:rsidRPr="005F4DE5" w14:paraId="53292F7A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58E6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Loddon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4504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3371</w:t>
            </w:r>
          </w:p>
        </w:tc>
      </w:tr>
      <w:tr w:rsidR="005F4DE5" w:rsidRPr="005F4DE5" w14:paraId="3B4FAFC8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F3A4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lastRenderedPageBreak/>
              <w:t>Nine Mile Ride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AAEC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2067</w:t>
            </w:r>
          </w:p>
        </w:tc>
      </w:tr>
      <w:tr w:rsidR="005F4DE5" w:rsidRPr="005F4DE5" w14:paraId="391AAE1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75AED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Oakls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 xml:space="preserve"> Infant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83D0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2132</w:t>
            </w:r>
          </w:p>
        </w:tc>
      </w:tr>
      <w:tr w:rsidR="005F4DE5" w:rsidRPr="005F4DE5" w14:paraId="5ED9A5F9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5225C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Polehampton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40F3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3046</w:t>
            </w:r>
          </w:p>
        </w:tc>
      </w:tr>
      <w:tr w:rsidR="005F4DE5" w:rsidRPr="005F4DE5" w14:paraId="4F75EFF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1233D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Radstock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1B693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2235</w:t>
            </w:r>
          </w:p>
        </w:tc>
      </w:tr>
      <w:tr w:rsidR="005F4DE5" w:rsidRPr="005F4DE5" w14:paraId="3A2DBE86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35993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Rivermead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058DC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2167</w:t>
            </w:r>
          </w:p>
        </w:tc>
      </w:tr>
      <w:tr w:rsidR="005F4DE5" w:rsidRPr="005F4DE5" w14:paraId="3FB485FE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2E2E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Robert Piggott CofE Infant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7E26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3057</w:t>
            </w:r>
          </w:p>
        </w:tc>
      </w:tr>
      <w:tr w:rsidR="005F4DE5" w:rsidRPr="005F4DE5" w14:paraId="2660951F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54A8D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Saint Sebastians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9BE9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3330</w:t>
            </w:r>
          </w:p>
        </w:tc>
      </w:tr>
      <w:tr w:rsidR="005F4DE5" w:rsidRPr="005F4DE5" w14:paraId="2C1CD19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594E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Shinfield Infant 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F8A6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2157</w:t>
            </w:r>
          </w:p>
        </w:tc>
      </w:tr>
      <w:tr w:rsidR="005F4DE5" w:rsidRPr="005F4DE5" w14:paraId="418B5404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0FDE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Sonning CofE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91FF3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3320</w:t>
            </w:r>
          </w:p>
        </w:tc>
      </w:tr>
      <w:tr w:rsidR="005F4DE5" w:rsidRPr="005F4DE5" w14:paraId="1F551D33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2F3C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South Lake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EC6F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2247</w:t>
            </w:r>
          </w:p>
        </w:tc>
      </w:tr>
      <w:tr w:rsidR="005F4DE5" w:rsidRPr="005F4DE5" w14:paraId="06B26103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DEB0C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St Cecilia's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EE3B6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</w:tr>
      <w:tr w:rsidR="005F4DE5" w:rsidRPr="005F4DE5" w14:paraId="1EE7046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063C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St Dominic Savio Catholic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122F6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3368</w:t>
            </w:r>
          </w:p>
        </w:tc>
      </w:tr>
      <w:tr w:rsidR="005F4DE5" w:rsidRPr="005F4DE5" w14:paraId="6CD766F6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0660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St Nicholas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7752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3037</w:t>
            </w:r>
          </w:p>
        </w:tc>
      </w:tr>
      <w:tr w:rsidR="005F4DE5" w:rsidRPr="005F4DE5" w14:paraId="640B6C02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5D1D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St Teresa's Catholic Academy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11E1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3341</w:t>
            </w:r>
          </w:p>
        </w:tc>
      </w:tr>
      <w:tr w:rsidR="005F4DE5" w:rsidRPr="005F4DE5" w14:paraId="51EB720A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B700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The Colleton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68F1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2149</w:t>
            </w:r>
          </w:p>
        </w:tc>
      </w:tr>
      <w:tr w:rsidR="005F4DE5" w:rsidRPr="005F4DE5" w14:paraId="1774264C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2D50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The Coombes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26C5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2006</w:t>
            </w:r>
          </w:p>
        </w:tc>
      </w:tr>
      <w:tr w:rsidR="005F4DE5" w:rsidRPr="005F4DE5" w14:paraId="30AEF022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DE469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The Hawthorns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06FD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2227</w:t>
            </w:r>
          </w:p>
        </w:tc>
      </w:tr>
      <w:tr w:rsidR="005F4DE5" w:rsidRPr="005F4DE5" w14:paraId="4630D837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F133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The Piggott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09D5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4505</w:t>
            </w:r>
          </w:p>
        </w:tc>
      </w:tr>
      <w:tr w:rsidR="005F4DE5" w:rsidRPr="005F4DE5" w14:paraId="2D54531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3860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Walter Infant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8ADE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2137</w:t>
            </w:r>
          </w:p>
        </w:tc>
      </w:tr>
      <w:tr w:rsidR="005F4DE5" w:rsidRPr="005F4DE5" w14:paraId="260E15AD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4102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Wescott Infant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C01C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2101</w:t>
            </w:r>
          </w:p>
        </w:tc>
      </w:tr>
      <w:tr w:rsidR="005F4DE5" w:rsidRPr="005F4DE5" w14:paraId="0EF9CFFB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25F86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Wheatfield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74AB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2001</w:t>
            </w:r>
          </w:p>
        </w:tc>
      </w:tr>
      <w:tr w:rsidR="005F4DE5" w:rsidRPr="005F4DE5" w14:paraId="73B0B623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C9BF0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Whiteknights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7122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2105</w:t>
            </w:r>
          </w:p>
        </w:tc>
      </w:tr>
      <w:tr w:rsidR="005F4DE5" w:rsidRPr="005F4DE5" w14:paraId="550CA226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85799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Willow Bank Infant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55E3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2160</w:t>
            </w:r>
          </w:p>
        </w:tc>
      </w:tr>
      <w:tr w:rsidR="005F4DE5" w:rsidRPr="005F4DE5" w14:paraId="1BF4003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565C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Windmill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EFC5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</w:tr>
      <w:tr w:rsidR="005F4DE5" w:rsidRPr="005F4DE5" w14:paraId="27E2C0A6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8C03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Winnersh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35C2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2146</w:t>
            </w:r>
          </w:p>
        </w:tc>
      </w:tr>
      <w:tr w:rsidR="005F4DE5" w:rsidRPr="005F4DE5" w14:paraId="534604FE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5658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Woodley CofE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532A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3056</w:t>
            </w:r>
          </w:p>
        </w:tc>
      </w:tr>
      <w:tr w:rsidR="005F4DE5" w:rsidRPr="005F4DE5" w14:paraId="396D55FD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901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A5E90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b/>
                <w:bCs/>
                <w:sz w:val="22"/>
                <w:szCs w:val="22"/>
              </w:rPr>
              <w:t>Junior Schools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901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A8F6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4DE5" w:rsidRPr="005F4DE5" w14:paraId="379DF34B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89B6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Emmbrook Junior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DDB9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</w:tr>
      <w:tr w:rsidR="005F4DE5" w:rsidRPr="005F4DE5" w14:paraId="5F6ACF73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B4A0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lastRenderedPageBreak/>
              <w:t>Gorse Ride Junior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2E653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2148</w:t>
            </w:r>
          </w:p>
        </w:tc>
      </w:tr>
      <w:tr w:rsidR="005F4DE5" w:rsidRPr="005F4DE5" w14:paraId="22602C73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54BB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Oaklands Junior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581C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2062</w:t>
            </w:r>
          </w:p>
        </w:tc>
      </w:tr>
      <w:tr w:rsidR="005F4DE5" w:rsidRPr="005F4DE5" w14:paraId="1C78EE72" w14:textId="77777777" w:rsidTr="005F4DE5">
        <w:trPr>
          <w:trHeight w:val="435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5EEF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Polehampton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> Church of England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EA7D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3370</w:t>
            </w:r>
          </w:p>
        </w:tc>
      </w:tr>
      <w:tr w:rsidR="005F4DE5" w:rsidRPr="005F4DE5" w14:paraId="12118D81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0460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Robert Piggott CofE Junior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A9638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3061</w:t>
            </w:r>
          </w:p>
        </w:tc>
      </w:tr>
      <w:tr w:rsidR="005F4DE5" w:rsidRPr="005F4DE5" w14:paraId="53907232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E595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Shinfield St Mary's CofE Junior Sch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54EE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3041</w:t>
            </w:r>
          </w:p>
        </w:tc>
      </w:tr>
      <w:tr w:rsidR="005F4DE5" w:rsidRPr="005F4DE5" w14:paraId="095FF89D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9BB2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St Paul's CofE Junior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EDDC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3055</w:t>
            </w:r>
          </w:p>
        </w:tc>
      </w:tr>
      <w:tr w:rsidR="005F4DE5" w:rsidRPr="005F4DE5" w14:paraId="74E18371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14B2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Westende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> Junior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D89F0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2184</w:t>
            </w:r>
          </w:p>
        </w:tc>
      </w:tr>
      <w:tr w:rsidR="005F4DE5" w:rsidRPr="005F4DE5" w14:paraId="25A7AF32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C7C4B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Willow Bank Junior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8EEA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2161</w:t>
            </w:r>
          </w:p>
        </w:tc>
      </w:tr>
      <w:tr w:rsidR="005F4DE5" w:rsidRPr="005F4DE5" w14:paraId="368AE75D" w14:textId="77777777" w:rsidTr="005F4DE5">
        <w:trPr>
          <w:trHeight w:val="36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A7F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8CBA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b/>
                <w:bCs/>
                <w:sz w:val="22"/>
                <w:szCs w:val="22"/>
              </w:rPr>
              <w:t>Secondary Schools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A7F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ACD1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4DE5" w:rsidRPr="005F4DE5" w14:paraId="1117020B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AA5D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Bohunt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 xml:space="preserve"> School Wokingham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9E947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4001</w:t>
            </w:r>
          </w:p>
        </w:tc>
      </w:tr>
      <w:tr w:rsidR="005F4DE5" w:rsidRPr="005F4DE5" w14:paraId="47893090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60AC8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 xml:space="preserve">Maiden </w:t>
            </w: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Erlegh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869A1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4053</w:t>
            </w:r>
          </w:p>
        </w:tc>
      </w:tr>
      <w:tr w:rsidR="005F4DE5" w:rsidRPr="005F4DE5" w14:paraId="0366F0C6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8CD84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Oakbank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12C8D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4002</w:t>
            </w:r>
          </w:p>
        </w:tc>
      </w:tr>
      <w:tr w:rsidR="005F4DE5" w:rsidRPr="005F4DE5" w14:paraId="255A3DE2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F7D5A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St Crispin's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8999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4048</w:t>
            </w:r>
          </w:p>
        </w:tc>
      </w:tr>
      <w:tr w:rsidR="005F4DE5" w:rsidRPr="005F4DE5" w14:paraId="621F1BD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4C7C5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Bulmershe</w:t>
            </w:r>
            <w:proofErr w:type="spellEnd"/>
            <w:r w:rsidRPr="005F4DE5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07AAD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4051</w:t>
            </w:r>
          </w:p>
        </w:tc>
      </w:tr>
      <w:tr w:rsidR="005F4DE5" w:rsidRPr="005F4DE5" w14:paraId="2FA75F8E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BA42D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The Emmbrook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63E78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4049</w:t>
            </w:r>
          </w:p>
        </w:tc>
      </w:tr>
      <w:tr w:rsidR="005F4DE5" w:rsidRPr="005F4DE5" w14:paraId="49C2F7EC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99BE2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The Forest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E0A03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4050</w:t>
            </w:r>
          </w:p>
        </w:tc>
      </w:tr>
      <w:tr w:rsidR="005F4DE5" w:rsidRPr="005F4DE5" w14:paraId="33956E95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DE29D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The Holt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B7E9F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4047</w:t>
            </w:r>
          </w:p>
        </w:tc>
      </w:tr>
      <w:tr w:rsidR="005F4DE5" w:rsidRPr="005F4DE5" w14:paraId="3D5DD006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01549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The Piggott School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D4C1E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4505</w:t>
            </w:r>
          </w:p>
        </w:tc>
      </w:tr>
      <w:tr w:rsidR="005F4DE5" w:rsidRPr="005F4DE5" w14:paraId="33EC27F0" w14:textId="77777777" w:rsidTr="005F4DE5">
        <w:trPr>
          <w:trHeight w:val="270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247B3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4DE5">
              <w:rPr>
                <w:rFonts w:ascii="Calibri" w:hAnsi="Calibri" w:cs="Calibri"/>
                <w:sz w:val="22"/>
                <w:szCs w:val="22"/>
              </w:rPr>
              <w:t>Waingels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58FD9" w14:textId="77777777" w:rsidR="005F4DE5" w:rsidRPr="005F4DE5" w:rsidRDefault="005F4DE5" w:rsidP="00AF1A4C">
            <w:pPr>
              <w:rPr>
                <w:rFonts w:ascii="Calibri" w:hAnsi="Calibri" w:cs="Calibri"/>
                <w:sz w:val="22"/>
                <w:szCs w:val="22"/>
              </w:rPr>
            </w:pPr>
            <w:r w:rsidRPr="005F4DE5">
              <w:rPr>
                <w:rFonts w:ascii="Calibri" w:hAnsi="Calibri" w:cs="Calibri"/>
                <w:sz w:val="22"/>
                <w:szCs w:val="22"/>
              </w:rPr>
              <w:t>4060</w:t>
            </w:r>
          </w:p>
        </w:tc>
      </w:tr>
    </w:tbl>
    <w:p w14:paraId="6D53440B" w14:textId="1E3676B8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br/>
        <w:t>2. The number of offers made under the sibling criterion</w:t>
      </w:r>
      <w:r w:rsidRPr="005F4DE5">
        <w:rPr>
          <w:rFonts w:ascii="Calibri" w:hAnsi="Calibri" w:cs="Calibri"/>
          <w:b/>
          <w:bCs/>
          <w:sz w:val="22"/>
          <w:szCs w:val="22"/>
        </w:rPr>
        <w:br/>
      </w:r>
      <w:r w:rsidRPr="005F4DE5">
        <w:rPr>
          <w:rFonts w:ascii="Calibri" w:hAnsi="Calibri" w:cs="Calibri"/>
          <w:sz w:val="22"/>
          <w:szCs w:val="22"/>
        </w:rPr>
        <w:t>P</w:t>
      </w:r>
      <w:r w:rsidRPr="005F4DE5">
        <w:rPr>
          <w:rFonts w:ascii="Calibri" w:hAnsi="Calibri" w:cs="Calibri"/>
          <w:sz w:val="22"/>
          <w:szCs w:val="22"/>
        </w:rPr>
        <w:t xml:space="preserve">lease see </w:t>
      </w:r>
      <w:r w:rsidRPr="005F4DE5">
        <w:rPr>
          <w:rFonts w:ascii="Calibri" w:hAnsi="Calibri" w:cs="Calibri"/>
          <w:sz w:val="22"/>
          <w:szCs w:val="22"/>
        </w:rPr>
        <w:t xml:space="preserve">below </w:t>
      </w:r>
      <w:r w:rsidRPr="005F4DE5">
        <w:rPr>
          <w:rFonts w:ascii="Calibri" w:hAnsi="Calibri" w:cs="Calibri"/>
          <w:sz w:val="22"/>
          <w:szCs w:val="22"/>
        </w:rPr>
        <w:t xml:space="preserve">links for answers to </w:t>
      </w:r>
      <w:r w:rsidRPr="005F4DE5">
        <w:rPr>
          <w:rFonts w:ascii="Calibri" w:hAnsi="Calibri" w:cs="Calibri"/>
          <w:sz w:val="22"/>
          <w:szCs w:val="22"/>
        </w:rPr>
        <w:t>questions</w:t>
      </w:r>
      <w:r w:rsidRPr="005F4DE5">
        <w:rPr>
          <w:rFonts w:ascii="Calibri" w:hAnsi="Calibri" w:cs="Calibri"/>
          <w:sz w:val="22"/>
          <w:szCs w:val="22"/>
        </w:rPr>
        <w:t xml:space="preserve"> 2 </w:t>
      </w:r>
      <w:r w:rsidRPr="005F4DE5">
        <w:rPr>
          <w:rFonts w:ascii="Calibri" w:hAnsi="Calibri" w:cs="Calibri"/>
          <w:sz w:val="22"/>
          <w:szCs w:val="22"/>
        </w:rPr>
        <w:t>–</w:t>
      </w:r>
      <w:r w:rsidRPr="005F4DE5">
        <w:rPr>
          <w:rFonts w:ascii="Calibri" w:hAnsi="Calibri" w:cs="Calibri"/>
          <w:sz w:val="22"/>
          <w:szCs w:val="22"/>
        </w:rPr>
        <w:t xml:space="preserve"> 6</w:t>
      </w:r>
      <w:r w:rsidRPr="005F4DE5">
        <w:rPr>
          <w:rFonts w:ascii="Calibri" w:hAnsi="Calibri" w:cs="Calibri"/>
          <w:sz w:val="22"/>
          <w:szCs w:val="22"/>
        </w:rPr>
        <w:t>:</w:t>
      </w:r>
    </w:p>
    <w:p w14:paraId="26FB4FB9" w14:textId="77777777" w:rsidR="005F4DE5" w:rsidRPr="005F4DE5" w:rsidRDefault="005F4DE5" w:rsidP="005F4DE5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hyperlink r:id="rId5" w:history="1">
        <w:r w:rsidRPr="005F4DE5">
          <w:rPr>
            <w:rStyle w:val="Hyperlink"/>
            <w:rFonts w:ascii="Calibri" w:hAnsi="Calibri" w:cs="Calibri"/>
            <w:sz w:val="22"/>
            <w:szCs w:val="22"/>
          </w:rPr>
          <w:t>Secondary school allocation information 2026_0.pdf</w:t>
        </w:r>
      </w:hyperlink>
      <w:r w:rsidRPr="005F4DE5">
        <w:rPr>
          <w:rFonts w:ascii="Calibri" w:hAnsi="Calibri" w:cs="Calibri"/>
          <w:sz w:val="22"/>
          <w:szCs w:val="22"/>
        </w:rPr>
        <w:t> for Q2,3,4,5 &amp; 6</w:t>
      </w:r>
    </w:p>
    <w:p w14:paraId="113CCED3" w14:textId="0F2809C4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sz w:val="22"/>
          <w:szCs w:val="22"/>
        </w:rPr>
        <w:t>*</w:t>
      </w:r>
      <w:proofErr w:type="gramStart"/>
      <w:r w:rsidRPr="005F4DE5">
        <w:rPr>
          <w:rFonts w:ascii="Calibri" w:hAnsi="Calibri" w:cs="Calibri"/>
          <w:sz w:val="22"/>
          <w:szCs w:val="22"/>
        </w:rPr>
        <w:t>where</w:t>
      </w:r>
      <w:proofErr w:type="gramEnd"/>
      <w:r w:rsidRPr="005F4DE5">
        <w:rPr>
          <w:rFonts w:ascii="Calibri" w:hAnsi="Calibri" w:cs="Calibri"/>
          <w:sz w:val="22"/>
          <w:szCs w:val="22"/>
        </w:rPr>
        <w:t xml:space="preserve"> you see N/A this is because the schools </w:t>
      </w:r>
      <w:proofErr w:type="gramStart"/>
      <w:r w:rsidRPr="005F4DE5">
        <w:rPr>
          <w:rFonts w:ascii="Calibri" w:hAnsi="Calibri" w:cs="Calibri"/>
          <w:sz w:val="22"/>
          <w:szCs w:val="22"/>
        </w:rPr>
        <w:t>is</w:t>
      </w:r>
      <w:proofErr w:type="gramEnd"/>
      <w:r w:rsidRPr="005F4DE5">
        <w:rPr>
          <w:rFonts w:ascii="Calibri" w:hAnsi="Calibri" w:cs="Calibri"/>
          <w:sz w:val="22"/>
          <w:szCs w:val="22"/>
        </w:rPr>
        <w:t xml:space="preserve"> undersubscribed and as </w:t>
      </w:r>
      <w:proofErr w:type="gramStart"/>
      <w:r w:rsidRPr="005F4DE5">
        <w:rPr>
          <w:rFonts w:ascii="Calibri" w:hAnsi="Calibri" w:cs="Calibri"/>
          <w:sz w:val="22"/>
          <w:szCs w:val="22"/>
        </w:rPr>
        <w:t>such</w:t>
      </w:r>
      <w:proofErr w:type="gramEnd"/>
      <w:r w:rsidRPr="005F4DE5">
        <w:rPr>
          <w:rFonts w:ascii="Calibri" w:hAnsi="Calibri" w:cs="Calibri"/>
          <w:sz w:val="22"/>
          <w:szCs w:val="22"/>
        </w:rPr>
        <w:t xml:space="preserve"> we do not record the distance of the last child allocated a place. </w:t>
      </w:r>
    </w:p>
    <w:p w14:paraId="64D723B5" w14:textId="0E0B5BE1" w:rsidR="005F4DE5" w:rsidRPr="005F4DE5" w:rsidRDefault="005F4DE5" w:rsidP="005F4DE5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hyperlink r:id="rId6" w:history="1">
        <w:r w:rsidRPr="005F4DE5">
          <w:rPr>
            <w:rStyle w:val="Hyperlink"/>
            <w:rFonts w:ascii="Calibri" w:hAnsi="Calibri" w:cs="Calibri"/>
            <w:sz w:val="22"/>
            <w:szCs w:val="22"/>
          </w:rPr>
          <w:t>Primary school allocation statistics 2026.pdf</w:t>
        </w:r>
      </w:hyperlink>
      <w:r w:rsidRPr="005F4DE5">
        <w:rPr>
          <w:rFonts w:ascii="Calibri" w:hAnsi="Calibri" w:cs="Calibri"/>
          <w:sz w:val="22"/>
          <w:szCs w:val="22"/>
        </w:rPr>
        <w:t> </w:t>
      </w:r>
    </w:p>
    <w:p w14:paraId="2C81B34B" w14:textId="77777777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sz w:val="22"/>
          <w:szCs w:val="22"/>
        </w:rPr>
        <w:t>*</w:t>
      </w:r>
      <w:proofErr w:type="gramStart"/>
      <w:r w:rsidRPr="005F4DE5">
        <w:rPr>
          <w:rFonts w:ascii="Calibri" w:hAnsi="Calibri" w:cs="Calibri"/>
          <w:sz w:val="22"/>
          <w:szCs w:val="22"/>
        </w:rPr>
        <w:t>where</w:t>
      </w:r>
      <w:proofErr w:type="gramEnd"/>
      <w:r w:rsidRPr="005F4DE5">
        <w:rPr>
          <w:rFonts w:ascii="Calibri" w:hAnsi="Calibri" w:cs="Calibri"/>
          <w:sz w:val="22"/>
          <w:szCs w:val="22"/>
        </w:rPr>
        <w:t xml:space="preserve"> you see N/A this is because the schools </w:t>
      </w:r>
      <w:proofErr w:type="gramStart"/>
      <w:r w:rsidRPr="005F4DE5">
        <w:rPr>
          <w:rFonts w:ascii="Calibri" w:hAnsi="Calibri" w:cs="Calibri"/>
          <w:sz w:val="22"/>
          <w:szCs w:val="22"/>
        </w:rPr>
        <w:t>is</w:t>
      </w:r>
      <w:proofErr w:type="gramEnd"/>
      <w:r w:rsidRPr="005F4DE5">
        <w:rPr>
          <w:rFonts w:ascii="Calibri" w:hAnsi="Calibri" w:cs="Calibri"/>
          <w:sz w:val="22"/>
          <w:szCs w:val="22"/>
        </w:rPr>
        <w:t xml:space="preserve"> undersubscribed and as </w:t>
      </w:r>
      <w:proofErr w:type="gramStart"/>
      <w:r w:rsidRPr="005F4DE5">
        <w:rPr>
          <w:rFonts w:ascii="Calibri" w:hAnsi="Calibri" w:cs="Calibri"/>
          <w:sz w:val="22"/>
          <w:szCs w:val="22"/>
        </w:rPr>
        <w:t>such</w:t>
      </w:r>
      <w:proofErr w:type="gramEnd"/>
      <w:r w:rsidRPr="005F4DE5">
        <w:rPr>
          <w:rFonts w:ascii="Calibri" w:hAnsi="Calibri" w:cs="Calibri"/>
          <w:sz w:val="22"/>
          <w:szCs w:val="22"/>
        </w:rPr>
        <w:t xml:space="preserve"> we do not record the distance of the last child allocated a place. </w:t>
      </w:r>
    </w:p>
    <w:p w14:paraId="43AEC2CC" w14:textId="77777777" w:rsidR="005F4DE5" w:rsidRPr="005F4DE5" w:rsidRDefault="005F4DE5" w:rsidP="005F4DE5">
      <w:pPr>
        <w:rPr>
          <w:rFonts w:ascii="Calibri" w:hAnsi="Calibri" w:cs="Calibri"/>
          <w:b/>
          <w:bCs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lastRenderedPageBreak/>
        <w:br/>
        <w:t>3. The number of offers made under any distance or proximity criterion</w:t>
      </w:r>
      <w:r w:rsidRPr="005F4DE5">
        <w:rPr>
          <w:rFonts w:ascii="Calibri" w:hAnsi="Calibri" w:cs="Calibri"/>
          <w:b/>
          <w:bCs/>
          <w:sz w:val="22"/>
          <w:szCs w:val="22"/>
        </w:rPr>
        <w:br/>
      </w:r>
      <w:r w:rsidRPr="005F4DE5">
        <w:rPr>
          <w:rFonts w:ascii="Calibri" w:hAnsi="Calibri" w:cs="Calibri"/>
          <w:sz w:val="22"/>
          <w:szCs w:val="22"/>
        </w:rPr>
        <w:t>Please see answer to question 2</w:t>
      </w:r>
      <w:r w:rsidRPr="005F4D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911B1CB" w14:textId="77777777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br/>
        <w:t>4. The admission criterion under which the last successful applicant was offered a place (e.g. "Distance", "Sibling", "Faith")</w:t>
      </w:r>
      <w:r w:rsidRPr="005F4DE5">
        <w:rPr>
          <w:rFonts w:ascii="Calibri" w:hAnsi="Calibri" w:cs="Calibri"/>
          <w:b/>
          <w:bCs/>
          <w:sz w:val="22"/>
          <w:szCs w:val="22"/>
        </w:rPr>
        <w:br/>
      </w:r>
      <w:r w:rsidRPr="005F4DE5">
        <w:rPr>
          <w:rFonts w:ascii="Calibri" w:hAnsi="Calibri" w:cs="Calibri"/>
          <w:sz w:val="22"/>
          <w:szCs w:val="22"/>
        </w:rPr>
        <w:t>Please see answer to question 2</w:t>
      </w:r>
    </w:p>
    <w:p w14:paraId="3C3105B1" w14:textId="77777777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br/>
        <w:t>5. Where distance was the deciding criterion for the last successful applicant: the home-to-school distance of that applicant (i.e. the furthest distance from which a place was offered under the distance criterion), the unit of measurement (miles, metres, or kilometres), and whether straight-line or walking distance was used</w:t>
      </w:r>
      <w:r w:rsidRPr="005F4DE5">
        <w:rPr>
          <w:rFonts w:ascii="Calibri" w:hAnsi="Calibri" w:cs="Calibri"/>
          <w:b/>
          <w:bCs/>
          <w:sz w:val="22"/>
          <w:szCs w:val="22"/>
        </w:rPr>
        <w:br/>
      </w:r>
      <w:r w:rsidRPr="005F4DE5">
        <w:rPr>
          <w:rFonts w:ascii="Calibri" w:hAnsi="Calibri" w:cs="Calibri"/>
          <w:sz w:val="22"/>
          <w:szCs w:val="22"/>
        </w:rPr>
        <w:t>Please see answer to question 2</w:t>
      </w:r>
    </w:p>
    <w:p w14:paraId="3ED1E5A3" w14:textId="77777777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br/>
        <w:t>6. Whether the school was oversubscribed</w:t>
      </w:r>
      <w:r w:rsidRPr="005F4DE5">
        <w:rPr>
          <w:rFonts w:ascii="Calibri" w:hAnsi="Calibri" w:cs="Calibri"/>
          <w:b/>
          <w:bCs/>
          <w:sz w:val="22"/>
          <w:szCs w:val="22"/>
        </w:rPr>
        <w:br/>
      </w:r>
      <w:r w:rsidRPr="005F4DE5">
        <w:rPr>
          <w:rFonts w:ascii="Calibri" w:hAnsi="Calibri" w:cs="Calibri"/>
          <w:sz w:val="22"/>
          <w:szCs w:val="22"/>
        </w:rPr>
        <w:t>Please see answer to question 2</w:t>
      </w:r>
    </w:p>
    <w:p w14:paraId="24719DB7" w14:textId="77777777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</w:p>
    <w:p w14:paraId="572844A6" w14:textId="465AD02D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t>7. The number of admission appeals heard for the 2025 intake year</w:t>
      </w:r>
      <w:r w:rsidRPr="005F4DE5">
        <w:rPr>
          <w:rFonts w:ascii="Calibri" w:hAnsi="Calibri" w:cs="Calibri"/>
          <w:b/>
          <w:bCs/>
          <w:sz w:val="22"/>
          <w:szCs w:val="22"/>
        </w:rPr>
        <w:br/>
        <w:t>Entry to Secondary</w:t>
      </w:r>
      <w:r w:rsidRPr="005F4DE5">
        <w:rPr>
          <w:rFonts w:ascii="Calibri" w:hAnsi="Calibri" w:cs="Calibri"/>
          <w:sz w:val="22"/>
          <w:szCs w:val="22"/>
        </w:rPr>
        <w:t xml:space="preserve"> - This year’s bulk appeals have not been heard yet, but we have received the following number of appeals for Holt and Maiden </w:t>
      </w:r>
      <w:proofErr w:type="spellStart"/>
      <w:r w:rsidRPr="005F4DE5">
        <w:rPr>
          <w:rFonts w:ascii="Calibri" w:hAnsi="Calibri" w:cs="Calibri"/>
          <w:sz w:val="22"/>
          <w:szCs w:val="22"/>
        </w:rPr>
        <w:t>Erlegh</w:t>
      </w:r>
      <w:proofErr w:type="spellEnd"/>
      <w:r w:rsidRPr="005F4DE5">
        <w:rPr>
          <w:rFonts w:ascii="Calibri" w:hAnsi="Calibri" w:cs="Calibri"/>
          <w:sz w:val="22"/>
          <w:szCs w:val="22"/>
        </w:rPr>
        <w:t xml:space="preserve">. These are the only secondary schools that we manage appeals </w:t>
      </w:r>
      <w:proofErr w:type="gramStart"/>
      <w:r w:rsidRPr="005F4DE5">
        <w:rPr>
          <w:rFonts w:ascii="Calibri" w:hAnsi="Calibri" w:cs="Calibri"/>
          <w:sz w:val="22"/>
          <w:szCs w:val="22"/>
        </w:rPr>
        <w:t>for</w:t>
      </w:r>
      <w:proofErr w:type="gramEnd"/>
      <w:r w:rsidRPr="005F4DE5">
        <w:rPr>
          <w:rFonts w:ascii="Calibri" w:hAnsi="Calibri" w:cs="Calibri"/>
          <w:sz w:val="22"/>
          <w:szCs w:val="22"/>
        </w:rPr>
        <w:t xml:space="preserve"> so we do not have any appeals data for the other WBC secondary schools. 2025 data below</w:t>
      </w:r>
    </w:p>
    <w:p w14:paraId="3EDE8A04" w14:textId="77777777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sz w:val="22"/>
          <w:szCs w:val="22"/>
        </w:rPr>
        <w:t>The Holt                           4</w:t>
      </w:r>
    </w:p>
    <w:p w14:paraId="7A61A300" w14:textId="77777777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sz w:val="22"/>
          <w:szCs w:val="22"/>
        </w:rPr>
        <w:t xml:space="preserve">Maiden </w:t>
      </w:r>
      <w:proofErr w:type="spellStart"/>
      <w:r w:rsidRPr="005F4DE5">
        <w:rPr>
          <w:rFonts w:ascii="Calibri" w:hAnsi="Calibri" w:cs="Calibri"/>
          <w:sz w:val="22"/>
          <w:szCs w:val="22"/>
        </w:rPr>
        <w:t>Erlegh</w:t>
      </w:r>
      <w:proofErr w:type="spellEnd"/>
      <w:r w:rsidRPr="005F4DE5">
        <w:rPr>
          <w:rFonts w:ascii="Calibri" w:hAnsi="Calibri" w:cs="Calibri"/>
          <w:sz w:val="22"/>
          <w:szCs w:val="22"/>
        </w:rPr>
        <w:t xml:space="preserve">               10</w:t>
      </w:r>
    </w:p>
    <w:p w14:paraId="25F5D5D4" w14:textId="77777777" w:rsidR="005F4DE5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t>Entry to Primary</w:t>
      </w:r>
      <w:r w:rsidRPr="005F4DE5">
        <w:rPr>
          <w:rFonts w:ascii="Calibri" w:hAnsi="Calibri" w:cs="Calibri"/>
          <w:sz w:val="22"/>
          <w:szCs w:val="22"/>
        </w:rPr>
        <w:t xml:space="preserve">- It is too early in the 2026 E2P process for appeals data so we have included the 2025 round below: </w:t>
      </w:r>
    </w:p>
    <w:p w14:paraId="3D66CEFE" w14:textId="77777777" w:rsidR="005F4DE5" w:rsidRDefault="005F4DE5" w:rsidP="005F4DE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F4DE5">
        <w:rPr>
          <w:rFonts w:ascii="Calibri" w:hAnsi="Calibri" w:cs="Calibri"/>
          <w:noProof/>
          <w:color w:val="002451"/>
          <w:sz w:val="22"/>
          <w:szCs w:val="22"/>
        </w:rPr>
        <w:lastRenderedPageBreak/>
        <w:drawing>
          <wp:inline distT="0" distB="0" distL="0" distR="0" wp14:anchorId="604FAAD6" wp14:editId="6B59AAE2">
            <wp:extent cx="4324350" cy="5594350"/>
            <wp:effectExtent l="0" t="0" r="0" b="6350"/>
            <wp:docPr id="1825633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4B5F" w14:textId="5B99FC09" w:rsidR="005A2BAF" w:rsidRPr="005F4DE5" w:rsidRDefault="005F4DE5" w:rsidP="005F4DE5">
      <w:pPr>
        <w:rPr>
          <w:rFonts w:ascii="Calibri" w:hAnsi="Calibri" w:cs="Calibri"/>
          <w:sz w:val="22"/>
          <w:szCs w:val="22"/>
        </w:rPr>
      </w:pPr>
      <w:r w:rsidRPr="005F4DE5">
        <w:rPr>
          <w:rFonts w:ascii="Calibri" w:hAnsi="Calibri" w:cs="Calibri"/>
          <w:b/>
          <w:bCs/>
          <w:sz w:val="22"/>
          <w:szCs w:val="22"/>
        </w:rPr>
        <w:br/>
        <w:t>8. The number of those appeals that were upheld (place offered after appeal)</w:t>
      </w:r>
      <w:r w:rsidRPr="005F4DE5">
        <w:rPr>
          <w:rFonts w:ascii="Calibri" w:hAnsi="Calibri" w:cs="Calibri"/>
          <w:b/>
          <w:bCs/>
          <w:sz w:val="22"/>
          <w:szCs w:val="22"/>
        </w:rPr>
        <w:br/>
      </w:r>
      <w:r w:rsidRPr="005F4DE5">
        <w:rPr>
          <w:rFonts w:ascii="Calibri" w:hAnsi="Calibri" w:cs="Calibri"/>
          <w:sz w:val="22"/>
          <w:szCs w:val="22"/>
        </w:rPr>
        <w:t>Please see answer to question 7</w:t>
      </w:r>
      <w:r w:rsidRPr="005F4D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5A2BAF" w:rsidRPr="005F4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606"/>
    <w:multiLevelType w:val="multilevel"/>
    <w:tmpl w:val="10AA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6470"/>
    <w:multiLevelType w:val="multilevel"/>
    <w:tmpl w:val="B6F0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C4E5C"/>
    <w:multiLevelType w:val="hybridMultilevel"/>
    <w:tmpl w:val="BD4E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1B59"/>
    <w:multiLevelType w:val="multilevel"/>
    <w:tmpl w:val="BB90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21D75"/>
    <w:multiLevelType w:val="multilevel"/>
    <w:tmpl w:val="8706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3E62A5"/>
    <w:multiLevelType w:val="hybridMultilevel"/>
    <w:tmpl w:val="9FCCF8A4"/>
    <w:lvl w:ilvl="0" w:tplc="07C44FC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1533"/>
    <w:multiLevelType w:val="hybridMultilevel"/>
    <w:tmpl w:val="5CF2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603A7"/>
    <w:multiLevelType w:val="multilevel"/>
    <w:tmpl w:val="8DA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F228A"/>
    <w:multiLevelType w:val="multilevel"/>
    <w:tmpl w:val="A676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20A2D"/>
    <w:multiLevelType w:val="multilevel"/>
    <w:tmpl w:val="1C98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46127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903203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098765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2388500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387124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337467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52887967">
    <w:abstractNumId w:val="6"/>
  </w:num>
  <w:num w:numId="8" w16cid:durableId="1097557526">
    <w:abstractNumId w:val="2"/>
  </w:num>
  <w:num w:numId="9" w16cid:durableId="2021732598">
    <w:abstractNumId w:val="5"/>
  </w:num>
  <w:num w:numId="10" w16cid:durableId="1572547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AF"/>
    <w:rsid w:val="00152A7E"/>
    <w:rsid w:val="0024220D"/>
    <w:rsid w:val="005A2BAF"/>
    <w:rsid w:val="005F4DE5"/>
    <w:rsid w:val="00D2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DA72"/>
  <w15:chartTrackingRefBased/>
  <w15:docId w15:val="{82D7845D-0ECD-42C7-BADF-F178A68D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B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D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E143.2578B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www.wokingham.gov.uk%2Fsites%2Fwokingham%2Ffiles%2F2026-04%2FPrimary%2520school%2520allocation%2520statistics%25202026.pdf&amp;data=05%7C02%7CChildrensServicesFOI%40wokingham.gov.uk%7C9b79a00ca9354eb9b11208deaf51e736%7C996ee15c0b3e4a6f8e65120a9a51821a%7C0%7C0%7C639140963474761906%7CUnknown%7CTWFpbGZsb3d8eyJFbXB0eU1hcGkiOnRydWUsIlYiOiIwLjAuMDAwMCIsIlAiOiJXaW4zMiIsIkFOIjoiTWFpbCIsIldUIjoyfQ%3D%3D%7C0%7C%7C%7C&amp;sdata=d6kFFolkJbLul1vRxdURSNlTiEThL9rj4U%2BEorI3ivo%3D&amp;reserved=0" TargetMode="External"/><Relationship Id="rId5" Type="http://schemas.openxmlformats.org/officeDocument/2006/relationships/hyperlink" Target="https://eur03.safelinks.protection.outlook.com/?url=https%3A%2F%2Fwww.wokingham.gov.uk%2Fsites%2Fwokingham%2Ffiles%2F2026-03%2FSecondary%2520school%2520allocation%2520information%25202026_0.pdf&amp;data=05%7C02%7CChildrensServicesFOI%40wokingham.gov.uk%7C9b79a00ca9354eb9b11208deaf51e736%7C996ee15c0b3e4a6f8e65120a9a51821a%7C0%7C0%7C639140963474694420%7CUnknown%7CTWFpbGZsb3d8eyJFbXB0eU1hcGkiOnRydWUsIlYiOiIwLjAuMDAwMCIsIlAiOiJXaW4zMiIsIkFOIjoiTWFpbCIsIldUIjoyfQ%3D%3D%7C0%7C%7C%7C&amp;sdata=lYR0%2FVfE%2FtLzjoPiJ10R31naQErQ8xn5MUM10R0Q0uI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2026-05-12T10:46:00Z</dcterms:created>
  <dcterms:modified xsi:type="dcterms:W3CDTF">2026-05-12T13:42:00Z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2026-05-12T13:40:51Z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4815e0ba-9a99-411b-b371-a12d60958be1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