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C00B" w14:textId="247C1229" w:rsidR="00A31DDD" w:rsidRPr="00A31DDD" w:rsidRDefault="00A31DDD" w:rsidP="00A31DDD">
      <w:pPr>
        <w:pStyle w:val="NoSpacing"/>
        <w:jc w:val="center"/>
        <w:rPr>
          <w:rFonts w:ascii="Calibri" w:hAnsi="Calibri" w:cs="Calibri"/>
          <w:b/>
          <w:bCs/>
          <w:sz w:val="22"/>
          <w:szCs w:val="22"/>
          <w:u w:val="single"/>
        </w:rPr>
      </w:pPr>
      <w:r w:rsidRPr="00A31DDD">
        <w:rPr>
          <w:rFonts w:ascii="Calibri" w:hAnsi="Calibri" w:cs="Calibri"/>
          <w:b/>
          <w:bCs/>
          <w:sz w:val="22"/>
          <w:szCs w:val="22"/>
          <w:u w:val="single"/>
        </w:rPr>
        <w:t>WBCIR:21643</w:t>
      </w:r>
    </w:p>
    <w:p w14:paraId="73D7F0D5" w14:textId="77777777" w:rsidR="00A31DDD" w:rsidRDefault="00A31DDD" w:rsidP="00A31DDD">
      <w:pPr>
        <w:pStyle w:val="NoSpacing"/>
        <w:rPr>
          <w:rFonts w:ascii="Calibri" w:hAnsi="Calibri" w:cs="Calibri"/>
          <w:b/>
          <w:bCs/>
          <w:sz w:val="22"/>
          <w:szCs w:val="22"/>
        </w:rPr>
      </w:pPr>
    </w:p>
    <w:p w14:paraId="35FD721D" w14:textId="75063575" w:rsidR="00A31DDD" w:rsidRPr="00A31DDD" w:rsidRDefault="00A31DDD" w:rsidP="00A31DDD">
      <w:pPr>
        <w:pStyle w:val="NoSpacing"/>
        <w:rPr>
          <w:rFonts w:ascii="Calibri" w:hAnsi="Calibri" w:cs="Calibri"/>
          <w:b/>
          <w:bCs/>
          <w:sz w:val="22"/>
          <w:szCs w:val="22"/>
        </w:rPr>
      </w:pPr>
      <w:r w:rsidRPr="00A31DDD">
        <w:rPr>
          <w:rFonts w:ascii="Calibri" w:hAnsi="Calibri" w:cs="Calibri"/>
          <w:b/>
          <w:bCs/>
          <w:sz w:val="22"/>
          <w:szCs w:val="22"/>
        </w:rPr>
        <w:t>I am conducting comparative research on the financial costs associated with local</w:t>
      </w:r>
      <w:r w:rsidRPr="00A31DDD">
        <w:rPr>
          <w:rFonts w:ascii="Calibri" w:hAnsi="Calibri" w:cs="Calibri"/>
          <w:b/>
          <w:bCs/>
          <w:sz w:val="22"/>
          <w:szCs w:val="22"/>
        </w:rPr>
        <w:t xml:space="preserve"> </w:t>
      </w:r>
      <w:r w:rsidRPr="00A31DDD">
        <w:rPr>
          <w:rFonts w:ascii="Calibri" w:hAnsi="Calibri" w:cs="Calibri"/>
          <w:b/>
          <w:bCs/>
          <w:sz w:val="22"/>
          <w:szCs w:val="22"/>
        </w:rPr>
        <w:t>authority statutory SEND functions across England. The same request is being submitted to all local authorities with SEND responsibilities, so that responses can be compared on a consistent basis. The questions have been drafted to be proportionate, to minimise the need for clarification, and to avoid asking for any information that would require the creation of new data.</w:t>
      </w:r>
    </w:p>
    <w:p w14:paraId="18B1C449" w14:textId="77777777" w:rsidR="00A31DDD" w:rsidRPr="00A31DDD" w:rsidRDefault="00A31DDD" w:rsidP="00A31DDD">
      <w:pPr>
        <w:pStyle w:val="NoSpacing"/>
        <w:rPr>
          <w:rFonts w:ascii="Calibri" w:hAnsi="Calibri" w:cs="Calibri"/>
          <w:b/>
          <w:bCs/>
          <w:sz w:val="22"/>
          <w:szCs w:val="22"/>
        </w:rPr>
      </w:pPr>
    </w:p>
    <w:p w14:paraId="049D2E52" w14:textId="77777777" w:rsidR="00A31DDD" w:rsidRPr="00A31DDD" w:rsidRDefault="00A31DDD" w:rsidP="001157F2">
      <w:pPr>
        <w:ind w:left="410" w:hanging="360"/>
        <w:rPr>
          <w:rFonts w:ascii="Calibri" w:hAnsi="Calibri" w:cs="Calibri"/>
          <w:sz w:val="22"/>
          <w:szCs w:val="22"/>
        </w:rPr>
      </w:pPr>
    </w:p>
    <w:p w14:paraId="048C80D7" w14:textId="76C3E6DE" w:rsidR="001157F2" w:rsidRPr="00A31DDD" w:rsidRDefault="001157F2" w:rsidP="001157F2">
      <w:pPr>
        <w:pStyle w:val="ListParagraph"/>
        <w:numPr>
          <w:ilvl w:val="0"/>
          <w:numId w:val="1"/>
        </w:numPr>
        <w:rPr>
          <w:rFonts w:ascii="Calibri" w:hAnsi="Calibri" w:cs="Calibri"/>
          <w:b/>
          <w:bCs/>
          <w:sz w:val="22"/>
          <w:szCs w:val="22"/>
        </w:rPr>
      </w:pPr>
      <w:r w:rsidRPr="00A31DDD">
        <w:rPr>
          <w:rFonts w:ascii="Calibri" w:hAnsi="Calibri" w:cs="Calibri"/>
          <w:b/>
          <w:bCs/>
          <w:sz w:val="22"/>
          <w:szCs w:val="22"/>
        </w:rPr>
        <w:t>SEND Tribunal legal costs.</w:t>
      </w:r>
    </w:p>
    <w:p w14:paraId="34304B34" w14:textId="77777777" w:rsidR="000745A4" w:rsidRPr="00A31DDD" w:rsidRDefault="001157F2" w:rsidP="001157F2">
      <w:pPr>
        <w:ind w:left="50"/>
        <w:rPr>
          <w:rFonts w:ascii="Calibri" w:hAnsi="Calibri" w:cs="Calibri"/>
          <w:b/>
          <w:bCs/>
          <w:sz w:val="22"/>
          <w:szCs w:val="22"/>
        </w:rPr>
      </w:pPr>
      <w:r w:rsidRPr="00A31DDD">
        <w:rPr>
          <w:rFonts w:ascii="Calibri" w:hAnsi="Calibri" w:cs="Calibri"/>
          <w:b/>
          <w:bCs/>
          <w:sz w:val="22"/>
          <w:szCs w:val="22"/>
        </w:rPr>
        <w:t>For each of the financial years 2022/23, 2023/24, and 2024/25:</w:t>
      </w:r>
    </w:p>
    <w:p w14:paraId="11A10C4B" w14:textId="7EC16293" w:rsidR="000745A4" w:rsidRPr="00A31DDD" w:rsidRDefault="001157F2" w:rsidP="00A31DDD">
      <w:pPr>
        <w:ind w:left="50"/>
        <w:rPr>
          <w:rFonts w:ascii="Calibri" w:hAnsi="Calibri" w:cs="Calibri"/>
          <w:b/>
          <w:bCs/>
          <w:sz w:val="22"/>
          <w:szCs w:val="22"/>
        </w:rPr>
      </w:pPr>
      <w:r w:rsidRPr="00A31DDD">
        <w:rPr>
          <w:rFonts w:ascii="Calibri" w:hAnsi="Calibri" w:cs="Calibri"/>
          <w:b/>
          <w:bCs/>
          <w:sz w:val="22"/>
          <w:szCs w:val="22"/>
        </w:rPr>
        <w:t xml:space="preserve">a) the total amount spent by your authority on external legal representation in connection with SEND Tribunal appeals, including solicitors' fees, counsel's fees, and fees for expert witnesses instructed by your authority; </w:t>
      </w:r>
      <w:r w:rsidRPr="00A31DDD">
        <w:rPr>
          <w:rFonts w:ascii="Calibri" w:hAnsi="Calibri" w:cs="Calibri"/>
          <w:b/>
          <w:bCs/>
          <w:sz w:val="22"/>
          <w:szCs w:val="22"/>
        </w:rPr>
        <w:br/>
        <w:t>b) the total amount spent on any in-house legal resource allocated to SEND Tribunal work, if recorded separately;</w:t>
      </w:r>
    </w:p>
    <w:p w14:paraId="16C27685" w14:textId="77777777" w:rsidR="000745A4" w:rsidRPr="00A31DDD" w:rsidRDefault="000745A4" w:rsidP="001157F2">
      <w:pPr>
        <w:rPr>
          <w:rFonts w:ascii="Calibri" w:hAnsi="Calibri" w:cs="Calibri"/>
          <w:sz w:val="22"/>
          <w:szCs w:val="22"/>
        </w:rPr>
      </w:pPr>
    </w:p>
    <w:p w14:paraId="49E8E733" w14:textId="06FA6AF2" w:rsidR="000745A4" w:rsidRPr="00A31DDD" w:rsidRDefault="000745A4" w:rsidP="001157F2">
      <w:pPr>
        <w:rPr>
          <w:rFonts w:ascii="Calibri" w:hAnsi="Calibri" w:cs="Calibri"/>
          <w:sz w:val="22"/>
          <w:szCs w:val="22"/>
        </w:rPr>
      </w:pPr>
      <w:r w:rsidRPr="00A31DDD">
        <w:rPr>
          <w:rFonts w:ascii="Calibri" w:hAnsi="Calibri" w:cs="Calibri"/>
          <w:noProof/>
          <w:sz w:val="22"/>
          <w:szCs w:val="22"/>
          <w14:ligatures w14:val="none"/>
        </w:rPr>
        <w:drawing>
          <wp:inline distT="0" distB="0" distL="0" distR="0" wp14:anchorId="4FE56A1B" wp14:editId="2F245D62">
            <wp:extent cx="4886325" cy="1057275"/>
            <wp:effectExtent l="0" t="0" r="9525" b="9525"/>
            <wp:docPr id="599964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86325" cy="1057275"/>
                    </a:xfrm>
                    <a:prstGeom prst="rect">
                      <a:avLst/>
                    </a:prstGeom>
                    <a:noFill/>
                    <a:ln>
                      <a:noFill/>
                    </a:ln>
                  </pic:spPr>
                </pic:pic>
              </a:graphicData>
            </a:graphic>
          </wp:inline>
        </w:drawing>
      </w:r>
    </w:p>
    <w:p w14:paraId="75E05EBC" w14:textId="3D498E67" w:rsidR="001157F2" w:rsidRPr="00A31DDD" w:rsidRDefault="001157F2" w:rsidP="001157F2">
      <w:pPr>
        <w:rPr>
          <w:rFonts w:ascii="Calibri" w:hAnsi="Calibri" w:cs="Calibri"/>
          <w:b/>
          <w:bCs/>
          <w:sz w:val="22"/>
          <w:szCs w:val="22"/>
        </w:rPr>
      </w:pPr>
      <w:r w:rsidRPr="00A31DDD">
        <w:rPr>
          <w:rFonts w:ascii="Calibri" w:hAnsi="Calibri" w:cs="Calibri"/>
          <w:sz w:val="22"/>
          <w:szCs w:val="22"/>
        </w:rPr>
        <w:br/>
      </w:r>
      <w:r w:rsidRPr="00A31DDD">
        <w:rPr>
          <w:rFonts w:ascii="Calibri" w:hAnsi="Calibri" w:cs="Calibri"/>
          <w:b/>
          <w:bCs/>
          <w:sz w:val="22"/>
          <w:szCs w:val="22"/>
        </w:rPr>
        <w:t>c) if the total legal cost per case is recorded or calculable, the average cost per appeal.</w:t>
      </w:r>
    </w:p>
    <w:p w14:paraId="184A4E9C" w14:textId="163AFFC4" w:rsidR="000745A4" w:rsidRPr="00A31DDD" w:rsidRDefault="000745A4" w:rsidP="001157F2">
      <w:pPr>
        <w:rPr>
          <w:rFonts w:ascii="Calibri" w:hAnsi="Calibri" w:cs="Calibri"/>
          <w:sz w:val="22"/>
          <w:szCs w:val="22"/>
        </w:rPr>
      </w:pPr>
      <w:r w:rsidRPr="00A31DDD">
        <w:rPr>
          <w:rFonts w:ascii="Calibri" w:hAnsi="Calibri" w:cs="Calibri"/>
          <w:noProof/>
          <w:sz w:val="22"/>
          <w:szCs w:val="22"/>
          <w14:ligatures w14:val="none"/>
        </w:rPr>
        <w:t xml:space="preserve">We do not record this information.  </w:t>
      </w:r>
    </w:p>
    <w:p w14:paraId="3132DD9F" w14:textId="77777777" w:rsidR="000745A4" w:rsidRPr="00A31DDD" w:rsidRDefault="001157F2" w:rsidP="001157F2">
      <w:pPr>
        <w:rPr>
          <w:rFonts w:ascii="Calibri" w:hAnsi="Calibri" w:cs="Calibri"/>
          <w:b/>
          <w:bCs/>
          <w:sz w:val="22"/>
          <w:szCs w:val="22"/>
        </w:rPr>
      </w:pPr>
      <w:r w:rsidRPr="00A31DDD">
        <w:rPr>
          <w:rFonts w:ascii="Calibri" w:hAnsi="Calibri" w:cs="Calibri"/>
          <w:sz w:val="22"/>
          <w:szCs w:val="22"/>
        </w:rPr>
        <w:br/>
      </w:r>
      <w:r w:rsidRPr="00A31DDD">
        <w:rPr>
          <w:rFonts w:ascii="Calibri" w:hAnsi="Calibri" w:cs="Calibri"/>
          <w:b/>
          <w:bCs/>
          <w:sz w:val="22"/>
          <w:szCs w:val="22"/>
        </w:rPr>
        <w:t xml:space="preserve">2. Independent and non-maintained placement costs </w:t>
      </w:r>
      <w:proofErr w:type="gramStart"/>
      <w:r w:rsidRPr="00A31DDD">
        <w:rPr>
          <w:rFonts w:ascii="Calibri" w:hAnsi="Calibri" w:cs="Calibri"/>
          <w:b/>
          <w:bCs/>
          <w:sz w:val="22"/>
          <w:szCs w:val="22"/>
        </w:rPr>
        <w:t>For</w:t>
      </w:r>
      <w:proofErr w:type="gramEnd"/>
      <w:r w:rsidRPr="00A31DDD">
        <w:rPr>
          <w:rFonts w:ascii="Calibri" w:hAnsi="Calibri" w:cs="Calibri"/>
          <w:b/>
          <w:bCs/>
          <w:sz w:val="22"/>
          <w:szCs w:val="22"/>
        </w:rPr>
        <w:t xml:space="preserve"> each of the financial years 2022/23, 2023/24, and 2024/25:</w:t>
      </w:r>
    </w:p>
    <w:p w14:paraId="6DD7ADC9" w14:textId="714D886B" w:rsidR="001157F2" w:rsidRPr="00A31DDD" w:rsidRDefault="001157F2" w:rsidP="001157F2">
      <w:pPr>
        <w:rPr>
          <w:rFonts w:ascii="Calibri" w:hAnsi="Calibri" w:cs="Calibri"/>
          <w:b/>
          <w:bCs/>
          <w:sz w:val="22"/>
          <w:szCs w:val="22"/>
        </w:rPr>
      </w:pPr>
      <w:r w:rsidRPr="00A31DDD">
        <w:rPr>
          <w:rFonts w:ascii="Calibri" w:hAnsi="Calibri" w:cs="Calibri"/>
          <w:b/>
          <w:bCs/>
          <w:sz w:val="22"/>
          <w:szCs w:val="22"/>
        </w:rPr>
        <w:t>a) the total number of children and young people with EHCPs placed by your authority in independent or non-maintained special schools;</w:t>
      </w:r>
    </w:p>
    <w:tbl>
      <w:tblPr>
        <w:tblW w:w="3280" w:type="dxa"/>
        <w:tblLook w:val="04A0" w:firstRow="1" w:lastRow="0" w:firstColumn="1" w:lastColumn="0" w:noHBand="0" w:noVBand="1"/>
      </w:tblPr>
      <w:tblGrid>
        <w:gridCol w:w="400"/>
        <w:gridCol w:w="980"/>
        <w:gridCol w:w="1900"/>
      </w:tblGrid>
      <w:tr w:rsidR="001157F2" w:rsidRPr="00A31DDD" w14:paraId="580CD837" w14:textId="77777777" w:rsidTr="001157F2">
        <w:trPr>
          <w:trHeight w:val="320"/>
        </w:trPr>
        <w:tc>
          <w:tcPr>
            <w:tcW w:w="400" w:type="dxa"/>
            <w:tcBorders>
              <w:top w:val="nil"/>
              <w:left w:val="nil"/>
              <w:bottom w:val="nil"/>
              <w:right w:val="nil"/>
            </w:tcBorders>
            <w:noWrap/>
            <w:vAlign w:val="bottom"/>
            <w:hideMark/>
          </w:tcPr>
          <w:p w14:paraId="696328BB"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nil"/>
              <w:left w:val="nil"/>
              <w:bottom w:val="nil"/>
              <w:right w:val="nil"/>
            </w:tcBorders>
            <w:noWrap/>
            <w:vAlign w:val="bottom"/>
            <w:hideMark/>
          </w:tcPr>
          <w:p w14:paraId="1C1E70C4" w14:textId="77777777" w:rsidR="001157F2" w:rsidRPr="00A31DDD" w:rsidRDefault="001157F2" w:rsidP="001157F2">
            <w:pPr>
              <w:rPr>
                <w:rFonts w:ascii="Calibri" w:eastAsia="Times New Roman" w:hAnsi="Calibri" w:cs="Calibri"/>
                <w:sz w:val="22"/>
                <w:szCs w:val="22"/>
                <w:lang w:eastAsia="en-GB"/>
                <w14:ligatures w14:val="none"/>
              </w:rPr>
            </w:pPr>
          </w:p>
        </w:tc>
        <w:tc>
          <w:tcPr>
            <w:tcW w:w="1900" w:type="dxa"/>
            <w:tcBorders>
              <w:top w:val="nil"/>
              <w:left w:val="nil"/>
              <w:bottom w:val="nil"/>
              <w:right w:val="nil"/>
            </w:tcBorders>
            <w:noWrap/>
            <w:vAlign w:val="bottom"/>
            <w:hideMark/>
          </w:tcPr>
          <w:p w14:paraId="56D8D915" w14:textId="77777777" w:rsidR="001157F2" w:rsidRPr="00A31DDD" w:rsidRDefault="001157F2" w:rsidP="001157F2">
            <w:pPr>
              <w:rPr>
                <w:rFonts w:ascii="Calibri" w:eastAsia="Times New Roman" w:hAnsi="Calibri" w:cs="Calibri"/>
                <w:sz w:val="22"/>
                <w:szCs w:val="22"/>
                <w:lang w:eastAsia="en-GB"/>
                <w14:ligatures w14:val="none"/>
              </w:rPr>
            </w:pPr>
          </w:p>
        </w:tc>
      </w:tr>
      <w:tr w:rsidR="001157F2" w:rsidRPr="00A31DDD" w14:paraId="02B6FCFE" w14:textId="77777777" w:rsidTr="001157F2">
        <w:trPr>
          <w:trHeight w:val="320"/>
        </w:trPr>
        <w:tc>
          <w:tcPr>
            <w:tcW w:w="400" w:type="dxa"/>
            <w:tcBorders>
              <w:top w:val="nil"/>
              <w:left w:val="nil"/>
              <w:bottom w:val="nil"/>
              <w:right w:val="nil"/>
            </w:tcBorders>
            <w:noWrap/>
            <w:vAlign w:val="bottom"/>
            <w:hideMark/>
          </w:tcPr>
          <w:p w14:paraId="7FCF8ACC"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580CA5A0"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FY</w:t>
            </w:r>
          </w:p>
        </w:tc>
        <w:tc>
          <w:tcPr>
            <w:tcW w:w="1900" w:type="dxa"/>
            <w:tcBorders>
              <w:top w:val="single" w:sz="4" w:space="0" w:color="auto"/>
              <w:left w:val="nil"/>
              <w:bottom w:val="single" w:sz="4" w:space="0" w:color="auto"/>
              <w:right w:val="single" w:sz="4" w:space="0" w:color="auto"/>
            </w:tcBorders>
            <w:noWrap/>
            <w:vAlign w:val="bottom"/>
            <w:hideMark/>
          </w:tcPr>
          <w:p w14:paraId="783ACC27"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INMSS Pupil Count</w:t>
            </w:r>
          </w:p>
        </w:tc>
      </w:tr>
      <w:tr w:rsidR="001157F2" w:rsidRPr="00A31DDD" w14:paraId="1BAFE165" w14:textId="77777777" w:rsidTr="001157F2">
        <w:trPr>
          <w:trHeight w:val="290"/>
        </w:trPr>
        <w:tc>
          <w:tcPr>
            <w:tcW w:w="400" w:type="dxa"/>
            <w:tcBorders>
              <w:top w:val="nil"/>
              <w:left w:val="nil"/>
              <w:bottom w:val="nil"/>
              <w:right w:val="nil"/>
            </w:tcBorders>
            <w:noWrap/>
            <w:vAlign w:val="bottom"/>
            <w:hideMark/>
          </w:tcPr>
          <w:p w14:paraId="41144376"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nil"/>
              <w:left w:val="single" w:sz="4" w:space="0" w:color="auto"/>
              <w:bottom w:val="single" w:sz="4" w:space="0" w:color="auto"/>
              <w:right w:val="single" w:sz="4" w:space="0" w:color="auto"/>
            </w:tcBorders>
            <w:noWrap/>
            <w:vAlign w:val="bottom"/>
            <w:hideMark/>
          </w:tcPr>
          <w:p w14:paraId="416CDFA2"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22/23</w:t>
            </w:r>
          </w:p>
        </w:tc>
        <w:tc>
          <w:tcPr>
            <w:tcW w:w="1900" w:type="dxa"/>
            <w:tcBorders>
              <w:top w:val="nil"/>
              <w:left w:val="nil"/>
              <w:bottom w:val="single" w:sz="4" w:space="0" w:color="auto"/>
              <w:right w:val="single" w:sz="4" w:space="0" w:color="auto"/>
            </w:tcBorders>
            <w:noWrap/>
            <w:vAlign w:val="bottom"/>
            <w:hideMark/>
          </w:tcPr>
          <w:p w14:paraId="08CC2B90"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No Data</w:t>
            </w:r>
          </w:p>
        </w:tc>
      </w:tr>
      <w:tr w:rsidR="001157F2" w:rsidRPr="00A31DDD" w14:paraId="51CE6D0B" w14:textId="77777777" w:rsidTr="001157F2">
        <w:trPr>
          <w:trHeight w:val="290"/>
        </w:trPr>
        <w:tc>
          <w:tcPr>
            <w:tcW w:w="400" w:type="dxa"/>
            <w:tcBorders>
              <w:top w:val="nil"/>
              <w:left w:val="nil"/>
              <w:bottom w:val="nil"/>
              <w:right w:val="nil"/>
            </w:tcBorders>
            <w:noWrap/>
            <w:vAlign w:val="bottom"/>
            <w:hideMark/>
          </w:tcPr>
          <w:p w14:paraId="4566AE5E"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nil"/>
              <w:left w:val="single" w:sz="4" w:space="0" w:color="auto"/>
              <w:bottom w:val="single" w:sz="4" w:space="0" w:color="auto"/>
              <w:right w:val="single" w:sz="4" w:space="0" w:color="auto"/>
            </w:tcBorders>
            <w:noWrap/>
            <w:vAlign w:val="bottom"/>
            <w:hideMark/>
          </w:tcPr>
          <w:p w14:paraId="0F3C1B5A"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23/24</w:t>
            </w:r>
          </w:p>
        </w:tc>
        <w:tc>
          <w:tcPr>
            <w:tcW w:w="1900" w:type="dxa"/>
            <w:tcBorders>
              <w:top w:val="nil"/>
              <w:left w:val="nil"/>
              <w:bottom w:val="single" w:sz="4" w:space="0" w:color="auto"/>
              <w:right w:val="single" w:sz="4" w:space="0" w:color="auto"/>
            </w:tcBorders>
            <w:noWrap/>
            <w:vAlign w:val="bottom"/>
            <w:hideMark/>
          </w:tcPr>
          <w:p w14:paraId="0FF1FEF3" w14:textId="77777777" w:rsidR="001157F2" w:rsidRPr="00A31DDD" w:rsidRDefault="001157F2" w:rsidP="001157F2">
            <w:pPr>
              <w:jc w:val="right"/>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212</w:t>
            </w:r>
          </w:p>
        </w:tc>
      </w:tr>
      <w:tr w:rsidR="001157F2" w:rsidRPr="00A31DDD" w14:paraId="1A8197E5" w14:textId="77777777" w:rsidTr="001157F2">
        <w:trPr>
          <w:trHeight w:val="290"/>
        </w:trPr>
        <w:tc>
          <w:tcPr>
            <w:tcW w:w="400" w:type="dxa"/>
            <w:tcBorders>
              <w:top w:val="nil"/>
              <w:left w:val="nil"/>
              <w:bottom w:val="nil"/>
              <w:right w:val="nil"/>
            </w:tcBorders>
            <w:noWrap/>
            <w:vAlign w:val="bottom"/>
            <w:hideMark/>
          </w:tcPr>
          <w:p w14:paraId="773A24BF" w14:textId="77777777" w:rsidR="001157F2" w:rsidRPr="00A31DDD" w:rsidRDefault="001157F2" w:rsidP="001157F2">
            <w:pPr>
              <w:jc w:val="right"/>
              <w:rPr>
                <w:rFonts w:ascii="Calibri" w:eastAsia="Times New Roman" w:hAnsi="Calibri" w:cs="Calibri"/>
                <w:sz w:val="22"/>
                <w:szCs w:val="22"/>
                <w:lang w:eastAsia="en-GB"/>
                <w14:ligatures w14:val="none"/>
              </w:rPr>
            </w:pPr>
          </w:p>
        </w:tc>
        <w:tc>
          <w:tcPr>
            <w:tcW w:w="980" w:type="dxa"/>
            <w:tcBorders>
              <w:top w:val="nil"/>
              <w:left w:val="single" w:sz="4" w:space="0" w:color="auto"/>
              <w:bottom w:val="single" w:sz="4" w:space="0" w:color="auto"/>
              <w:right w:val="single" w:sz="4" w:space="0" w:color="auto"/>
            </w:tcBorders>
            <w:noWrap/>
            <w:vAlign w:val="bottom"/>
            <w:hideMark/>
          </w:tcPr>
          <w:p w14:paraId="0CA0A6DB"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24/25</w:t>
            </w:r>
          </w:p>
        </w:tc>
        <w:tc>
          <w:tcPr>
            <w:tcW w:w="1900" w:type="dxa"/>
            <w:tcBorders>
              <w:top w:val="nil"/>
              <w:left w:val="nil"/>
              <w:bottom w:val="single" w:sz="4" w:space="0" w:color="auto"/>
              <w:right w:val="single" w:sz="4" w:space="0" w:color="auto"/>
            </w:tcBorders>
            <w:noWrap/>
            <w:vAlign w:val="bottom"/>
            <w:hideMark/>
          </w:tcPr>
          <w:p w14:paraId="0A2DCF97" w14:textId="77777777" w:rsidR="001157F2" w:rsidRPr="00A31DDD" w:rsidRDefault="001157F2" w:rsidP="001157F2">
            <w:pPr>
              <w:jc w:val="right"/>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217</w:t>
            </w:r>
          </w:p>
        </w:tc>
      </w:tr>
    </w:tbl>
    <w:p w14:paraId="040FD1AA" w14:textId="65CD4331" w:rsidR="001157F2" w:rsidRPr="00A31DDD" w:rsidRDefault="001157F2" w:rsidP="001157F2">
      <w:pPr>
        <w:rPr>
          <w:rFonts w:ascii="Calibri" w:hAnsi="Calibri" w:cs="Calibri"/>
          <w:b/>
          <w:bCs/>
          <w:sz w:val="22"/>
          <w:szCs w:val="22"/>
        </w:rPr>
      </w:pPr>
      <w:r w:rsidRPr="00A31DDD">
        <w:rPr>
          <w:rFonts w:ascii="Calibri" w:hAnsi="Calibri" w:cs="Calibri"/>
          <w:b/>
          <w:bCs/>
          <w:sz w:val="22"/>
          <w:szCs w:val="22"/>
        </w:rPr>
        <w:t>b) the total annual expenditure on those placements;</w:t>
      </w:r>
    </w:p>
    <w:tbl>
      <w:tblPr>
        <w:tblW w:w="3544" w:type="dxa"/>
        <w:tblLook w:val="04A0" w:firstRow="1" w:lastRow="0" w:firstColumn="1" w:lastColumn="0" w:noHBand="0" w:noVBand="1"/>
      </w:tblPr>
      <w:tblGrid>
        <w:gridCol w:w="400"/>
        <w:gridCol w:w="980"/>
        <w:gridCol w:w="1900"/>
        <w:gridCol w:w="264"/>
      </w:tblGrid>
      <w:tr w:rsidR="001157F2" w:rsidRPr="00A31DDD" w14:paraId="287C0050" w14:textId="77777777" w:rsidTr="000745A4">
        <w:trPr>
          <w:gridAfter w:val="1"/>
          <w:wAfter w:w="264" w:type="dxa"/>
          <w:trHeight w:val="290"/>
        </w:trPr>
        <w:tc>
          <w:tcPr>
            <w:tcW w:w="400" w:type="dxa"/>
            <w:tcBorders>
              <w:top w:val="nil"/>
              <w:left w:val="nil"/>
              <w:bottom w:val="nil"/>
              <w:right w:val="nil"/>
            </w:tcBorders>
            <w:noWrap/>
            <w:vAlign w:val="bottom"/>
            <w:hideMark/>
          </w:tcPr>
          <w:p w14:paraId="3DB03457"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nil"/>
              <w:left w:val="nil"/>
              <w:bottom w:val="nil"/>
              <w:right w:val="nil"/>
            </w:tcBorders>
            <w:noWrap/>
            <w:vAlign w:val="bottom"/>
            <w:hideMark/>
          </w:tcPr>
          <w:p w14:paraId="2BD4B65D" w14:textId="77777777" w:rsidR="001157F2" w:rsidRPr="00A31DDD" w:rsidRDefault="001157F2" w:rsidP="001157F2">
            <w:pPr>
              <w:rPr>
                <w:rFonts w:ascii="Calibri" w:eastAsia="Times New Roman" w:hAnsi="Calibri" w:cs="Calibri"/>
                <w:sz w:val="22"/>
                <w:szCs w:val="22"/>
                <w:lang w:eastAsia="en-GB"/>
                <w14:ligatures w14:val="none"/>
              </w:rPr>
            </w:pPr>
          </w:p>
        </w:tc>
        <w:tc>
          <w:tcPr>
            <w:tcW w:w="1900" w:type="dxa"/>
            <w:tcBorders>
              <w:top w:val="nil"/>
              <w:left w:val="nil"/>
              <w:bottom w:val="nil"/>
              <w:right w:val="nil"/>
            </w:tcBorders>
            <w:noWrap/>
            <w:vAlign w:val="bottom"/>
            <w:hideMark/>
          </w:tcPr>
          <w:p w14:paraId="1A64CF93" w14:textId="77777777" w:rsidR="001157F2" w:rsidRPr="00A31DDD" w:rsidRDefault="001157F2" w:rsidP="001157F2">
            <w:pPr>
              <w:rPr>
                <w:rFonts w:ascii="Calibri" w:eastAsia="Times New Roman" w:hAnsi="Calibri" w:cs="Calibri"/>
                <w:sz w:val="22"/>
                <w:szCs w:val="22"/>
                <w:lang w:eastAsia="en-GB"/>
                <w14:ligatures w14:val="none"/>
              </w:rPr>
            </w:pPr>
          </w:p>
        </w:tc>
      </w:tr>
      <w:tr w:rsidR="001157F2" w:rsidRPr="00A31DDD" w14:paraId="2D65FF50" w14:textId="77777777" w:rsidTr="000745A4">
        <w:trPr>
          <w:trHeight w:val="320"/>
        </w:trPr>
        <w:tc>
          <w:tcPr>
            <w:tcW w:w="400" w:type="dxa"/>
            <w:tcBorders>
              <w:top w:val="nil"/>
              <w:left w:val="nil"/>
              <w:bottom w:val="nil"/>
              <w:right w:val="nil"/>
            </w:tcBorders>
            <w:noWrap/>
            <w:vAlign w:val="bottom"/>
            <w:hideMark/>
          </w:tcPr>
          <w:p w14:paraId="3824C299"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754A30A2"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FY</w:t>
            </w:r>
          </w:p>
        </w:tc>
        <w:tc>
          <w:tcPr>
            <w:tcW w:w="2164" w:type="dxa"/>
            <w:gridSpan w:val="2"/>
            <w:tcBorders>
              <w:top w:val="single" w:sz="4" w:space="0" w:color="auto"/>
              <w:left w:val="nil"/>
              <w:bottom w:val="single" w:sz="4" w:space="0" w:color="auto"/>
              <w:right w:val="single" w:sz="4" w:space="0" w:color="auto"/>
            </w:tcBorders>
            <w:noWrap/>
            <w:vAlign w:val="bottom"/>
            <w:hideMark/>
          </w:tcPr>
          <w:p w14:paraId="3A38BAE0"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Total Expenditure</w:t>
            </w:r>
          </w:p>
        </w:tc>
      </w:tr>
      <w:tr w:rsidR="001157F2" w:rsidRPr="00A31DDD" w14:paraId="5D70B7EE" w14:textId="77777777" w:rsidTr="000745A4">
        <w:trPr>
          <w:trHeight w:val="290"/>
        </w:trPr>
        <w:tc>
          <w:tcPr>
            <w:tcW w:w="400" w:type="dxa"/>
            <w:tcBorders>
              <w:top w:val="nil"/>
              <w:left w:val="nil"/>
              <w:bottom w:val="nil"/>
              <w:right w:val="nil"/>
            </w:tcBorders>
            <w:noWrap/>
            <w:vAlign w:val="bottom"/>
            <w:hideMark/>
          </w:tcPr>
          <w:p w14:paraId="3D007508"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nil"/>
              <w:left w:val="single" w:sz="4" w:space="0" w:color="auto"/>
              <w:bottom w:val="single" w:sz="4" w:space="0" w:color="auto"/>
              <w:right w:val="single" w:sz="4" w:space="0" w:color="auto"/>
            </w:tcBorders>
            <w:noWrap/>
            <w:vAlign w:val="bottom"/>
            <w:hideMark/>
          </w:tcPr>
          <w:p w14:paraId="55968CFF"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22/23</w:t>
            </w:r>
          </w:p>
        </w:tc>
        <w:tc>
          <w:tcPr>
            <w:tcW w:w="2164" w:type="dxa"/>
            <w:gridSpan w:val="2"/>
            <w:tcBorders>
              <w:top w:val="nil"/>
              <w:left w:val="nil"/>
              <w:bottom w:val="single" w:sz="4" w:space="0" w:color="auto"/>
              <w:right w:val="single" w:sz="4" w:space="0" w:color="auto"/>
            </w:tcBorders>
            <w:noWrap/>
            <w:vAlign w:val="bottom"/>
            <w:hideMark/>
          </w:tcPr>
          <w:p w14:paraId="0BABEB5B"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           9,706,100.65 </w:t>
            </w:r>
          </w:p>
        </w:tc>
      </w:tr>
      <w:tr w:rsidR="001157F2" w:rsidRPr="00A31DDD" w14:paraId="641D8E5A" w14:textId="77777777" w:rsidTr="000745A4">
        <w:trPr>
          <w:trHeight w:val="290"/>
        </w:trPr>
        <w:tc>
          <w:tcPr>
            <w:tcW w:w="400" w:type="dxa"/>
            <w:tcBorders>
              <w:top w:val="nil"/>
              <w:left w:val="nil"/>
              <w:bottom w:val="nil"/>
              <w:right w:val="nil"/>
            </w:tcBorders>
            <w:noWrap/>
            <w:vAlign w:val="bottom"/>
            <w:hideMark/>
          </w:tcPr>
          <w:p w14:paraId="484D164E"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nil"/>
              <w:left w:val="single" w:sz="4" w:space="0" w:color="auto"/>
              <w:bottom w:val="single" w:sz="4" w:space="0" w:color="auto"/>
              <w:right w:val="single" w:sz="4" w:space="0" w:color="auto"/>
            </w:tcBorders>
            <w:noWrap/>
            <w:vAlign w:val="bottom"/>
            <w:hideMark/>
          </w:tcPr>
          <w:p w14:paraId="505D76F1"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23/24</w:t>
            </w:r>
          </w:p>
        </w:tc>
        <w:tc>
          <w:tcPr>
            <w:tcW w:w="2164" w:type="dxa"/>
            <w:gridSpan w:val="2"/>
            <w:tcBorders>
              <w:top w:val="nil"/>
              <w:left w:val="nil"/>
              <w:bottom w:val="single" w:sz="4" w:space="0" w:color="auto"/>
              <w:right w:val="single" w:sz="4" w:space="0" w:color="auto"/>
            </w:tcBorders>
            <w:noWrap/>
            <w:vAlign w:val="bottom"/>
            <w:hideMark/>
          </w:tcPr>
          <w:p w14:paraId="2CA8D5C4"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        12,162,731.10 </w:t>
            </w:r>
          </w:p>
        </w:tc>
      </w:tr>
      <w:tr w:rsidR="001157F2" w:rsidRPr="00A31DDD" w14:paraId="0A56411E" w14:textId="77777777" w:rsidTr="000745A4">
        <w:trPr>
          <w:trHeight w:val="290"/>
        </w:trPr>
        <w:tc>
          <w:tcPr>
            <w:tcW w:w="400" w:type="dxa"/>
            <w:tcBorders>
              <w:top w:val="nil"/>
              <w:left w:val="nil"/>
              <w:bottom w:val="nil"/>
              <w:right w:val="nil"/>
            </w:tcBorders>
            <w:noWrap/>
            <w:vAlign w:val="bottom"/>
            <w:hideMark/>
          </w:tcPr>
          <w:p w14:paraId="5CEAFDD7"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nil"/>
              <w:left w:val="single" w:sz="4" w:space="0" w:color="auto"/>
              <w:bottom w:val="single" w:sz="4" w:space="0" w:color="auto"/>
              <w:right w:val="single" w:sz="4" w:space="0" w:color="auto"/>
            </w:tcBorders>
            <w:noWrap/>
            <w:vAlign w:val="bottom"/>
            <w:hideMark/>
          </w:tcPr>
          <w:p w14:paraId="3E191791"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24/25</w:t>
            </w:r>
          </w:p>
        </w:tc>
        <w:tc>
          <w:tcPr>
            <w:tcW w:w="2164" w:type="dxa"/>
            <w:gridSpan w:val="2"/>
            <w:tcBorders>
              <w:top w:val="nil"/>
              <w:left w:val="nil"/>
              <w:bottom w:val="single" w:sz="4" w:space="0" w:color="auto"/>
              <w:right w:val="single" w:sz="4" w:space="0" w:color="auto"/>
            </w:tcBorders>
            <w:noWrap/>
            <w:vAlign w:val="bottom"/>
            <w:hideMark/>
          </w:tcPr>
          <w:p w14:paraId="63A9F62E"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        14,950,386.86 </w:t>
            </w:r>
          </w:p>
        </w:tc>
      </w:tr>
    </w:tbl>
    <w:p w14:paraId="699FE081" w14:textId="1D4471C5" w:rsidR="001157F2" w:rsidRPr="00A31DDD" w:rsidRDefault="001157F2" w:rsidP="001157F2">
      <w:pPr>
        <w:rPr>
          <w:rFonts w:ascii="Calibri" w:hAnsi="Calibri" w:cs="Calibri"/>
          <w:b/>
          <w:bCs/>
          <w:sz w:val="22"/>
          <w:szCs w:val="22"/>
        </w:rPr>
      </w:pPr>
      <w:r w:rsidRPr="00A31DDD">
        <w:rPr>
          <w:rFonts w:ascii="Calibri" w:hAnsi="Calibri" w:cs="Calibri"/>
          <w:b/>
          <w:bCs/>
          <w:sz w:val="22"/>
          <w:szCs w:val="22"/>
        </w:rPr>
        <w:t>c) the average annual cost per placement;</w:t>
      </w:r>
    </w:p>
    <w:tbl>
      <w:tblPr>
        <w:tblW w:w="3544" w:type="dxa"/>
        <w:tblLook w:val="04A0" w:firstRow="1" w:lastRow="0" w:firstColumn="1" w:lastColumn="0" w:noHBand="0" w:noVBand="1"/>
      </w:tblPr>
      <w:tblGrid>
        <w:gridCol w:w="400"/>
        <w:gridCol w:w="980"/>
        <w:gridCol w:w="1900"/>
        <w:gridCol w:w="264"/>
      </w:tblGrid>
      <w:tr w:rsidR="001157F2" w:rsidRPr="00A31DDD" w14:paraId="0AAA9B8F" w14:textId="77777777" w:rsidTr="000745A4">
        <w:trPr>
          <w:gridAfter w:val="1"/>
          <w:wAfter w:w="264" w:type="dxa"/>
          <w:trHeight w:val="290"/>
        </w:trPr>
        <w:tc>
          <w:tcPr>
            <w:tcW w:w="400" w:type="dxa"/>
            <w:tcBorders>
              <w:top w:val="nil"/>
              <w:left w:val="nil"/>
              <w:bottom w:val="nil"/>
              <w:right w:val="nil"/>
            </w:tcBorders>
            <w:noWrap/>
            <w:vAlign w:val="bottom"/>
            <w:hideMark/>
          </w:tcPr>
          <w:p w14:paraId="6B6774EA"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nil"/>
              <w:left w:val="nil"/>
              <w:bottom w:val="nil"/>
              <w:right w:val="nil"/>
            </w:tcBorders>
            <w:noWrap/>
            <w:vAlign w:val="bottom"/>
            <w:hideMark/>
          </w:tcPr>
          <w:p w14:paraId="7AFD2C11" w14:textId="77777777" w:rsidR="001157F2" w:rsidRPr="00A31DDD" w:rsidRDefault="001157F2" w:rsidP="001157F2">
            <w:pPr>
              <w:rPr>
                <w:rFonts w:ascii="Calibri" w:eastAsia="Times New Roman" w:hAnsi="Calibri" w:cs="Calibri"/>
                <w:sz w:val="22"/>
                <w:szCs w:val="22"/>
                <w:lang w:eastAsia="en-GB"/>
                <w14:ligatures w14:val="none"/>
              </w:rPr>
            </w:pPr>
          </w:p>
        </w:tc>
        <w:tc>
          <w:tcPr>
            <w:tcW w:w="1900" w:type="dxa"/>
            <w:tcBorders>
              <w:top w:val="nil"/>
              <w:left w:val="nil"/>
              <w:bottom w:val="nil"/>
              <w:right w:val="nil"/>
            </w:tcBorders>
            <w:noWrap/>
            <w:vAlign w:val="bottom"/>
            <w:hideMark/>
          </w:tcPr>
          <w:p w14:paraId="5D907A24" w14:textId="77777777" w:rsidR="001157F2" w:rsidRPr="00A31DDD" w:rsidRDefault="001157F2" w:rsidP="001157F2">
            <w:pPr>
              <w:rPr>
                <w:rFonts w:ascii="Calibri" w:eastAsia="Times New Roman" w:hAnsi="Calibri" w:cs="Calibri"/>
                <w:sz w:val="22"/>
                <w:szCs w:val="22"/>
                <w:lang w:eastAsia="en-GB"/>
                <w14:ligatures w14:val="none"/>
              </w:rPr>
            </w:pPr>
          </w:p>
        </w:tc>
      </w:tr>
      <w:tr w:rsidR="001157F2" w:rsidRPr="00A31DDD" w14:paraId="3DFAA1F3" w14:textId="77777777" w:rsidTr="000745A4">
        <w:trPr>
          <w:trHeight w:val="320"/>
        </w:trPr>
        <w:tc>
          <w:tcPr>
            <w:tcW w:w="400" w:type="dxa"/>
            <w:tcBorders>
              <w:top w:val="nil"/>
              <w:left w:val="nil"/>
              <w:bottom w:val="nil"/>
              <w:right w:val="nil"/>
            </w:tcBorders>
            <w:noWrap/>
            <w:vAlign w:val="bottom"/>
            <w:hideMark/>
          </w:tcPr>
          <w:p w14:paraId="4E1E86AE"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042190DD"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FY</w:t>
            </w:r>
          </w:p>
        </w:tc>
        <w:tc>
          <w:tcPr>
            <w:tcW w:w="2164" w:type="dxa"/>
            <w:gridSpan w:val="2"/>
            <w:tcBorders>
              <w:top w:val="single" w:sz="4" w:space="0" w:color="auto"/>
              <w:left w:val="nil"/>
              <w:bottom w:val="single" w:sz="4" w:space="0" w:color="auto"/>
              <w:right w:val="single" w:sz="4" w:space="0" w:color="auto"/>
            </w:tcBorders>
            <w:noWrap/>
            <w:vAlign w:val="bottom"/>
            <w:hideMark/>
          </w:tcPr>
          <w:p w14:paraId="16BF24FC"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Average annual cost</w:t>
            </w:r>
          </w:p>
        </w:tc>
      </w:tr>
      <w:tr w:rsidR="001157F2" w:rsidRPr="00A31DDD" w14:paraId="67D0A782" w14:textId="77777777" w:rsidTr="000745A4">
        <w:trPr>
          <w:trHeight w:val="290"/>
        </w:trPr>
        <w:tc>
          <w:tcPr>
            <w:tcW w:w="400" w:type="dxa"/>
            <w:tcBorders>
              <w:top w:val="nil"/>
              <w:left w:val="nil"/>
              <w:bottom w:val="nil"/>
              <w:right w:val="nil"/>
            </w:tcBorders>
            <w:noWrap/>
            <w:vAlign w:val="bottom"/>
            <w:hideMark/>
          </w:tcPr>
          <w:p w14:paraId="5323CF47"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nil"/>
              <w:left w:val="single" w:sz="4" w:space="0" w:color="auto"/>
              <w:bottom w:val="single" w:sz="4" w:space="0" w:color="auto"/>
              <w:right w:val="single" w:sz="4" w:space="0" w:color="auto"/>
            </w:tcBorders>
            <w:noWrap/>
            <w:vAlign w:val="bottom"/>
            <w:hideMark/>
          </w:tcPr>
          <w:p w14:paraId="1FD3B521"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22/23</w:t>
            </w:r>
          </w:p>
        </w:tc>
        <w:tc>
          <w:tcPr>
            <w:tcW w:w="2164" w:type="dxa"/>
            <w:gridSpan w:val="2"/>
            <w:tcBorders>
              <w:top w:val="nil"/>
              <w:left w:val="nil"/>
              <w:bottom w:val="single" w:sz="4" w:space="0" w:color="auto"/>
              <w:right w:val="single" w:sz="4" w:space="0" w:color="auto"/>
            </w:tcBorders>
            <w:noWrap/>
            <w:vAlign w:val="bottom"/>
            <w:hideMark/>
          </w:tcPr>
          <w:p w14:paraId="17D880C4"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N/A</w:t>
            </w:r>
          </w:p>
        </w:tc>
      </w:tr>
      <w:tr w:rsidR="001157F2" w:rsidRPr="00A31DDD" w14:paraId="7C09F17B" w14:textId="77777777" w:rsidTr="000745A4">
        <w:trPr>
          <w:trHeight w:val="290"/>
        </w:trPr>
        <w:tc>
          <w:tcPr>
            <w:tcW w:w="400" w:type="dxa"/>
            <w:tcBorders>
              <w:top w:val="nil"/>
              <w:left w:val="nil"/>
              <w:bottom w:val="nil"/>
              <w:right w:val="nil"/>
            </w:tcBorders>
            <w:noWrap/>
            <w:vAlign w:val="bottom"/>
            <w:hideMark/>
          </w:tcPr>
          <w:p w14:paraId="4AB70AEE"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nil"/>
              <w:left w:val="single" w:sz="4" w:space="0" w:color="auto"/>
              <w:bottom w:val="single" w:sz="4" w:space="0" w:color="auto"/>
              <w:right w:val="single" w:sz="4" w:space="0" w:color="auto"/>
            </w:tcBorders>
            <w:noWrap/>
            <w:vAlign w:val="bottom"/>
            <w:hideMark/>
          </w:tcPr>
          <w:p w14:paraId="6B2B2B18"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23/24</w:t>
            </w:r>
          </w:p>
        </w:tc>
        <w:tc>
          <w:tcPr>
            <w:tcW w:w="2164" w:type="dxa"/>
            <w:gridSpan w:val="2"/>
            <w:tcBorders>
              <w:top w:val="nil"/>
              <w:left w:val="nil"/>
              <w:bottom w:val="single" w:sz="4" w:space="0" w:color="auto"/>
              <w:right w:val="single" w:sz="4" w:space="0" w:color="auto"/>
            </w:tcBorders>
            <w:noWrap/>
            <w:vAlign w:val="bottom"/>
            <w:hideMark/>
          </w:tcPr>
          <w:p w14:paraId="7221215D"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                  57,371.37 </w:t>
            </w:r>
          </w:p>
        </w:tc>
      </w:tr>
      <w:tr w:rsidR="001157F2" w:rsidRPr="00A31DDD" w14:paraId="382DC87C" w14:textId="77777777" w:rsidTr="000745A4">
        <w:trPr>
          <w:trHeight w:val="290"/>
        </w:trPr>
        <w:tc>
          <w:tcPr>
            <w:tcW w:w="400" w:type="dxa"/>
            <w:tcBorders>
              <w:top w:val="nil"/>
              <w:left w:val="nil"/>
              <w:bottom w:val="nil"/>
              <w:right w:val="nil"/>
            </w:tcBorders>
            <w:noWrap/>
            <w:vAlign w:val="bottom"/>
            <w:hideMark/>
          </w:tcPr>
          <w:p w14:paraId="2481EFE6" w14:textId="77777777" w:rsidR="001157F2" w:rsidRPr="00A31DDD" w:rsidRDefault="001157F2" w:rsidP="001157F2">
            <w:pPr>
              <w:rPr>
                <w:rFonts w:ascii="Calibri" w:eastAsia="Times New Roman" w:hAnsi="Calibri" w:cs="Calibri"/>
                <w:sz w:val="22"/>
                <w:szCs w:val="22"/>
                <w:lang w:eastAsia="en-GB"/>
                <w14:ligatures w14:val="none"/>
              </w:rPr>
            </w:pPr>
          </w:p>
        </w:tc>
        <w:tc>
          <w:tcPr>
            <w:tcW w:w="980" w:type="dxa"/>
            <w:tcBorders>
              <w:top w:val="nil"/>
              <w:left w:val="single" w:sz="4" w:space="0" w:color="auto"/>
              <w:bottom w:val="single" w:sz="4" w:space="0" w:color="auto"/>
              <w:right w:val="single" w:sz="4" w:space="0" w:color="auto"/>
            </w:tcBorders>
            <w:noWrap/>
            <w:vAlign w:val="bottom"/>
            <w:hideMark/>
          </w:tcPr>
          <w:p w14:paraId="27DD19E8"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24/25</w:t>
            </w:r>
          </w:p>
        </w:tc>
        <w:tc>
          <w:tcPr>
            <w:tcW w:w="2164" w:type="dxa"/>
            <w:gridSpan w:val="2"/>
            <w:tcBorders>
              <w:top w:val="nil"/>
              <w:left w:val="nil"/>
              <w:bottom w:val="single" w:sz="4" w:space="0" w:color="auto"/>
              <w:right w:val="single" w:sz="4" w:space="0" w:color="auto"/>
            </w:tcBorders>
            <w:noWrap/>
            <w:vAlign w:val="bottom"/>
            <w:hideMark/>
          </w:tcPr>
          <w:p w14:paraId="68379A77"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                  68,895.79 </w:t>
            </w:r>
          </w:p>
        </w:tc>
      </w:tr>
    </w:tbl>
    <w:p w14:paraId="1C0E3CB6" w14:textId="77777777" w:rsidR="001157F2" w:rsidRPr="00A31DDD" w:rsidRDefault="001157F2" w:rsidP="001157F2">
      <w:pPr>
        <w:rPr>
          <w:rFonts w:ascii="Calibri" w:hAnsi="Calibri" w:cs="Calibri"/>
          <w:sz w:val="22"/>
          <w:szCs w:val="22"/>
        </w:rPr>
      </w:pPr>
    </w:p>
    <w:p w14:paraId="2C30AF98" w14:textId="5BEF94B7" w:rsidR="001157F2" w:rsidRPr="00A31DDD" w:rsidRDefault="001157F2" w:rsidP="001157F2">
      <w:pPr>
        <w:rPr>
          <w:rFonts w:ascii="Calibri" w:hAnsi="Calibri" w:cs="Calibri"/>
          <w:b/>
          <w:bCs/>
          <w:sz w:val="22"/>
          <w:szCs w:val="22"/>
        </w:rPr>
      </w:pPr>
      <w:r w:rsidRPr="00A31DDD">
        <w:rPr>
          <w:rFonts w:ascii="Calibri" w:hAnsi="Calibri" w:cs="Calibri"/>
          <w:b/>
          <w:bCs/>
          <w:sz w:val="22"/>
          <w:szCs w:val="22"/>
        </w:rPr>
        <w:t>d) the number of those placements that were made following a SEND Tribunal order or were conceded during Tribunal proceedings, as distinct from placements made by your authority's own decision.</w:t>
      </w:r>
    </w:p>
    <w:p w14:paraId="6ED6A537" w14:textId="622874D0" w:rsidR="000745A4" w:rsidRPr="00A31DDD" w:rsidRDefault="000745A4" w:rsidP="001157F2">
      <w:pPr>
        <w:rPr>
          <w:rFonts w:ascii="Calibri" w:hAnsi="Calibri" w:cs="Calibri"/>
          <w:sz w:val="22"/>
          <w:szCs w:val="22"/>
        </w:rPr>
      </w:pPr>
      <w:r w:rsidRPr="00A31DDD">
        <w:rPr>
          <w:rFonts w:ascii="Calibri" w:hAnsi="Calibri" w:cs="Calibri"/>
          <w:sz w:val="22"/>
          <w:szCs w:val="22"/>
        </w:rPr>
        <w:t xml:space="preserve">We do not record how many of these placements were </w:t>
      </w:r>
      <w:proofErr w:type="gramStart"/>
      <w:r w:rsidRPr="00A31DDD">
        <w:rPr>
          <w:rFonts w:ascii="Calibri" w:hAnsi="Calibri" w:cs="Calibri"/>
          <w:sz w:val="22"/>
          <w:szCs w:val="22"/>
        </w:rPr>
        <w:t>as a result of</w:t>
      </w:r>
      <w:proofErr w:type="gramEnd"/>
      <w:r w:rsidRPr="00A31DDD">
        <w:rPr>
          <w:rFonts w:ascii="Calibri" w:hAnsi="Calibri" w:cs="Calibri"/>
          <w:sz w:val="22"/>
          <w:szCs w:val="22"/>
        </w:rPr>
        <w:t xml:space="preserve"> tribunal.  </w:t>
      </w:r>
    </w:p>
    <w:p w14:paraId="232C4E47" w14:textId="5B28ECCF" w:rsidR="004E7A67" w:rsidRPr="00A31DDD" w:rsidRDefault="004E7A67" w:rsidP="001157F2">
      <w:pPr>
        <w:rPr>
          <w:rFonts w:ascii="Calibri" w:hAnsi="Calibri" w:cs="Calibri"/>
          <w:sz w:val="22"/>
          <w:szCs w:val="22"/>
        </w:rPr>
      </w:pPr>
    </w:p>
    <w:p w14:paraId="02277917" w14:textId="77777777" w:rsidR="000745A4" w:rsidRPr="00A31DDD" w:rsidRDefault="001157F2" w:rsidP="001157F2">
      <w:pPr>
        <w:rPr>
          <w:rFonts w:ascii="Calibri" w:hAnsi="Calibri" w:cs="Calibri"/>
          <w:b/>
          <w:bCs/>
          <w:sz w:val="22"/>
          <w:szCs w:val="22"/>
        </w:rPr>
      </w:pPr>
      <w:r w:rsidRPr="00A31DDD">
        <w:rPr>
          <w:rFonts w:ascii="Calibri" w:hAnsi="Calibri" w:cs="Calibri"/>
          <w:b/>
          <w:bCs/>
          <w:sz w:val="22"/>
          <w:szCs w:val="22"/>
        </w:rPr>
        <w:t>3.  Average cost of maintaining an EHCP For the most recent financial year for which data is available:</w:t>
      </w:r>
    </w:p>
    <w:p w14:paraId="1F3AD5CA" w14:textId="4CCD777E" w:rsidR="001157F2" w:rsidRPr="00A31DDD" w:rsidRDefault="001157F2" w:rsidP="001157F2">
      <w:pPr>
        <w:rPr>
          <w:rFonts w:ascii="Calibri" w:hAnsi="Calibri" w:cs="Calibri"/>
          <w:b/>
          <w:bCs/>
          <w:sz w:val="22"/>
          <w:szCs w:val="22"/>
        </w:rPr>
      </w:pPr>
      <w:r w:rsidRPr="00A31DDD">
        <w:rPr>
          <w:rFonts w:ascii="Calibri" w:hAnsi="Calibri" w:cs="Calibri"/>
          <w:b/>
          <w:bCs/>
          <w:sz w:val="22"/>
          <w:szCs w:val="22"/>
        </w:rPr>
        <w:t>a) the total expenditure by your authority on provision specified in EHCPs, including direct payments, top-up funding to schools, and commissioned services, but excluding independent placement costs reported under Question 2;</w:t>
      </w:r>
      <w:r w:rsidRPr="00A31DDD">
        <w:rPr>
          <w:rFonts w:ascii="Calibri" w:hAnsi="Calibri" w:cs="Calibri"/>
          <w:b/>
          <w:bCs/>
          <w:sz w:val="22"/>
          <w:szCs w:val="22"/>
        </w:rPr>
        <w:br/>
        <w:t>b) the total number of EHCPs maintained by your authority at the end of that financial year;</w:t>
      </w:r>
      <w:r w:rsidRPr="00A31DDD">
        <w:rPr>
          <w:rFonts w:ascii="Calibri" w:hAnsi="Calibri" w:cs="Calibri"/>
          <w:b/>
          <w:bCs/>
          <w:sz w:val="22"/>
          <w:szCs w:val="22"/>
        </w:rPr>
        <w:br/>
        <w:t>c) if calculated or calculable, the average annual cost per EHCP.</w:t>
      </w:r>
    </w:p>
    <w:p w14:paraId="0BD5955D" w14:textId="77777777" w:rsidR="001157F2" w:rsidRPr="00A31DDD" w:rsidRDefault="001157F2" w:rsidP="001157F2">
      <w:pPr>
        <w:rPr>
          <w:rFonts w:ascii="Calibri" w:hAnsi="Calibri" w:cs="Calibri"/>
          <w:sz w:val="22"/>
          <w:szCs w:val="22"/>
        </w:rPr>
      </w:pPr>
    </w:p>
    <w:tbl>
      <w:tblPr>
        <w:tblW w:w="8480" w:type="dxa"/>
        <w:tblLook w:val="04A0" w:firstRow="1" w:lastRow="0" w:firstColumn="1" w:lastColumn="0" w:noHBand="0" w:noVBand="1"/>
      </w:tblPr>
      <w:tblGrid>
        <w:gridCol w:w="500"/>
        <w:gridCol w:w="4720"/>
        <w:gridCol w:w="1940"/>
        <w:gridCol w:w="1320"/>
      </w:tblGrid>
      <w:tr w:rsidR="001157F2" w:rsidRPr="00A31DDD" w14:paraId="29D45EE0" w14:textId="77777777" w:rsidTr="001157F2">
        <w:trPr>
          <w:trHeight w:val="433"/>
        </w:trPr>
        <w:tc>
          <w:tcPr>
            <w:tcW w:w="500" w:type="dxa"/>
            <w:tcBorders>
              <w:top w:val="nil"/>
              <w:left w:val="nil"/>
              <w:bottom w:val="nil"/>
              <w:right w:val="nil"/>
            </w:tcBorders>
            <w:shd w:val="clear" w:color="000000" w:fill="FFFFFF"/>
            <w:noWrap/>
            <w:vAlign w:val="bottom"/>
            <w:hideMark/>
          </w:tcPr>
          <w:p w14:paraId="4C33567B"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nil"/>
              <w:left w:val="nil"/>
              <w:bottom w:val="nil"/>
              <w:right w:val="nil"/>
            </w:tcBorders>
            <w:shd w:val="clear" w:color="000000" w:fill="FFFFFF"/>
            <w:noWrap/>
            <w:vAlign w:val="bottom"/>
            <w:hideMark/>
          </w:tcPr>
          <w:p w14:paraId="68898D6A"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SEND Spending #3</w:t>
            </w:r>
          </w:p>
        </w:tc>
        <w:tc>
          <w:tcPr>
            <w:tcW w:w="1940" w:type="dxa"/>
            <w:tcBorders>
              <w:top w:val="nil"/>
              <w:left w:val="nil"/>
              <w:bottom w:val="nil"/>
              <w:right w:val="nil"/>
            </w:tcBorders>
            <w:shd w:val="clear" w:color="000000" w:fill="FFFFFF"/>
            <w:noWrap/>
            <w:vAlign w:val="bottom"/>
            <w:hideMark/>
          </w:tcPr>
          <w:p w14:paraId="00030875"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c>
          <w:tcPr>
            <w:tcW w:w="1320" w:type="dxa"/>
            <w:tcBorders>
              <w:top w:val="nil"/>
              <w:left w:val="nil"/>
              <w:bottom w:val="nil"/>
              <w:right w:val="nil"/>
            </w:tcBorders>
            <w:shd w:val="clear" w:color="000000" w:fill="FFFFFF"/>
            <w:noWrap/>
            <w:vAlign w:val="bottom"/>
            <w:hideMark/>
          </w:tcPr>
          <w:p w14:paraId="0F682807"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r>
      <w:tr w:rsidR="001157F2" w:rsidRPr="00A31DDD" w14:paraId="741070B2" w14:textId="77777777" w:rsidTr="001157F2">
        <w:trPr>
          <w:trHeight w:val="360"/>
        </w:trPr>
        <w:tc>
          <w:tcPr>
            <w:tcW w:w="500" w:type="dxa"/>
            <w:tcBorders>
              <w:top w:val="nil"/>
              <w:left w:val="nil"/>
              <w:bottom w:val="nil"/>
              <w:right w:val="nil"/>
            </w:tcBorders>
            <w:shd w:val="clear" w:color="000000" w:fill="FFFFFF"/>
            <w:noWrap/>
            <w:vAlign w:val="bottom"/>
            <w:hideMark/>
          </w:tcPr>
          <w:p w14:paraId="53487FDE" w14:textId="77777777" w:rsidR="001157F2" w:rsidRPr="00A31DDD" w:rsidRDefault="001157F2" w:rsidP="001157F2">
            <w:pPr>
              <w:jc w:val="cente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c>
          <w:tcPr>
            <w:tcW w:w="4720" w:type="dxa"/>
            <w:tcBorders>
              <w:top w:val="nil"/>
              <w:left w:val="nil"/>
              <w:bottom w:val="nil"/>
              <w:right w:val="nil"/>
            </w:tcBorders>
            <w:shd w:val="clear" w:color="000000" w:fill="FFFFFF"/>
            <w:vAlign w:val="center"/>
            <w:hideMark/>
          </w:tcPr>
          <w:p w14:paraId="1F5E4A98"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c>
          <w:tcPr>
            <w:tcW w:w="1940" w:type="dxa"/>
            <w:tcBorders>
              <w:top w:val="nil"/>
              <w:left w:val="nil"/>
              <w:bottom w:val="nil"/>
              <w:right w:val="nil"/>
            </w:tcBorders>
            <w:shd w:val="clear" w:color="000000" w:fill="FFFFFF"/>
            <w:vAlign w:val="center"/>
            <w:hideMark/>
          </w:tcPr>
          <w:p w14:paraId="7F606A67"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c>
          <w:tcPr>
            <w:tcW w:w="132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0DEF2AC" w14:textId="77777777" w:rsidR="001157F2" w:rsidRPr="00A31DDD" w:rsidRDefault="001157F2" w:rsidP="001157F2">
            <w:pPr>
              <w:jc w:val="right"/>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r>
      <w:tr w:rsidR="001157F2" w:rsidRPr="00A31DDD" w14:paraId="550D95D7" w14:textId="77777777" w:rsidTr="001157F2">
        <w:trPr>
          <w:trHeight w:val="780"/>
        </w:trPr>
        <w:tc>
          <w:tcPr>
            <w:tcW w:w="500" w:type="dxa"/>
            <w:tcBorders>
              <w:top w:val="nil"/>
              <w:left w:val="nil"/>
              <w:bottom w:val="nil"/>
              <w:right w:val="nil"/>
            </w:tcBorders>
            <w:shd w:val="clear" w:color="000000" w:fill="FFFFFF"/>
            <w:noWrap/>
            <w:vAlign w:val="bottom"/>
            <w:hideMark/>
          </w:tcPr>
          <w:p w14:paraId="35C0500E"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nil"/>
              <w:left w:val="nil"/>
              <w:bottom w:val="nil"/>
              <w:right w:val="nil"/>
            </w:tcBorders>
            <w:shd w:val="clear" w:color="000000" w:fill="FFFFFF"/>
            <w:noWrap/>
            <w:vAlign w:val="bottom"/>
            <w:hideMark/>
          </w:tcPr>
          <w:p w14:paraId="2DCBF870"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c>
          <w:tcPr>
            <w:tcW w:w="1940" w:type="dxa"/>
            <w:tcBorders>
              <w:top w:val="nil"/>
              <w:left w:val="nil"/>
              <w:bottom w:val="nil"/>
              <w:right w:val="nil"/>
            </w:tcBorders>
            <w:shd w:val="clear" w:color="000000" w:fill="FFFFFF"/>
            <w:noWrap/>
            <w:vAlign w:val="bottom"/>
            <w:hideMark/>
          </w:tcPr>
          <w:p w14:paraId="0506A1E1"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c>
          <w:tcPr>
            <w:tcW w:w="1320" w:type="dxa"/>
            <w:tcBorders>
              <w:top w:val="nil"/>
              <w:left w:val="single" w:sz="8" w:space="0" w:color="auto"/>
              <w:bottom w:val="single" w:sz="8" w:space="0" w:color="auto"/>
              <w:right w:val="single" w:sz="8" w:space="0" w:color="auto"/>
            </w:tcBorders>
            <w:shd w:val="clear" w:color="000000" w:fill="D9D9D9"/>
            <w:vAlign w:val="bottom"/>
            <w:hideMark/>
          </w:tcPr>
          <w:p w14:paraId="6A7CE943" w14:textId="77777777" w:rsidR="001157F2" w:rsidRPr="00A31DDD" w:rsidRDefault="001157F2" w:rsidP="001157F2">
            <w:pPr>
              <w:jc w:val="right"/>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xml:space="preserve"> 2024/25 </w:t>
            </w:r>
            <w:r w:rsidRPr="00A31DDD">
              <w:rPr>
                <w:rFonts w:ascii="Calibri" w:eastAsia="Times New Roman" w:hAnsi="Calibri" w:cs="Calibri"/>
                <w:b/>
                <w:bCs/>
                <w:sz w:val="22"/>
                <w:szCs w:val="22"/>
                <w:lang w:eastAsia="en-GB"/>
                <w14:ligatures w14:val="none"/>
              </w:rPr>
              <w:br/>
              <w:t xml:space="preserve">Actuals </w:t>
            </w:r>
          </w:p>
        </w:tc>
      </w:tr>
      <w:tr w:rsidR="001157F2" w:rsidRPr="00A31DDD" w14:paraId="4267E7C7" w14:textId="77777777" w:rsidTr="001157F2">
        <w:trPr>
          <w:trHeight w:val="265"/>
        </w:trPr>
        <w:tc>
          <w:tcPr>
            <w:tcW w:w="500" w:type="dxa"/>
            <w:tcBorders>
              <w:top w:val="nil"/>
              <w:left w:val="nil"/>
              <w:bottom w:val="nil"/>
              <w:right w:val="nil"/>
            </w:tcBorders>
            <w:shd w:val="clear" w:color="000000" w:fill="FFFFFF"/>
            <w:noWrap/>
            <w:vAlign w:val="bottom"/>
            <w:hideMark/>
          </w:tcPr>
          <w:p w14:paraId="053A4588"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nil"/>
              <w:left w:val="nil"/>
              <w:bottom w:val="nil"/>
              <w:right w:val="nil"/>
            </w:tcBorders>
            <w:shd w:val="clear" w:color="000000" w:fill="FFFFFF"/>
            <w:noWrap/>
            <w:vAlign w:val="bottom"/>
            <w:hideMark/>
          </w:tcPr>
          <w:p w14:paraId="278A1F84"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c>
          <w:tcPr>
            <w:tcW w:w="1940" w:type="dxa"/>
            <w:tcBorders>
              <w:top w:val="nil"/>
              <w:left w:val="nil"/>
              <w:bottom w:val="nil"/>
              <w:right w:val="nil"/>
            </w:tcBorders>
            <w:shd w:val="clear" w:color="000000" w:fill="FFFFFF"/>
            <w:noWrap/>
            <w:vAlign w:val="bottom"/>
            <w:hideMark/>
          </w:tcPr>
          <w:p w14:paraId="78E7CBC3"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c>
          <w:tcPr>
            <w:tcW w:w="1320" w:type="dxa"/>
            <w:tcBorders>
              <w:top w:val="nil"/>
              <w:left w:val="nil"/>
              <w:bottom w:val="nil"/>
              <w:right w:val="nil"/>
            </w:tcBorders>
            <w:shd w:val="clear" w:color="000000" w:fill="FFFFFF"/>
            <w:vAlign w:val="bottom"/>
            <w:hideMark/>
          </w:tcPr>
          <w:p w14:paraId="6F80FC9C" w14:textId="77777777" w:rsidR="001157F2" w:rsidRPr="00A31DDD" w:rsidRDefault="001157F2" w:rsidP="001157F2">
            <w:pPr>
              <w:jc w:val="right"/>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r>
      <w:tr w:rsidR="001157F2" w:rsidRPr="00A31DDD" w14:paraId="553DD21C" w14:textId="77777777" w:rsidTr="001157F2">
        <w:trPr>
          <w:trHeight w:val="360"/>
        </w:trPr>
        <w:tc>
          <w:tcPr>
            <w:tcW w:w="500" w:type="dxa"/>
            <w:tcBorders>
              <w:top w:val="nil"/>
              <w:left w:val="nil"/>
              <w:bottom w:val="nil"/>
              <w:right w:val="nil"/>
            </w:tcBorders>
            <w:shd w:val="clear" w:color="000000" w:fill="FFFFFF"/>
            <w:noWrap/>
            <w:vAlign w:val="bottom"/>
            <w:hideMark/>
          </w:tcPr>
          <w:p w14:paraId="2733A7EB"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single" w:sz="4" w:space="0" w:color="auto"/>
              <w:left w:val="single" w:sz="4" w:space="0" w:color="auto"/>
              <w:bottom w:val="single" w:sz="4" w:space="0" w:color="auto"/>
              <w:right w:val="single" w:sz="4" w:space="0" w:color="auto"/>
            </w:tcBorders>
            <w:vAlign w:val="center"/>
            <w:hideMark/>
          </w:tcPr>
          <w:p w14:paraId="03BDA80F"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Total Expenditure</w:t>
            </w:r>
          </w:p>
        </w:tc>
        <w:tc>
          <w:tcPr>
            <w:tcW w:w="1940" w:type="dxa"/>
            <w:tcBorders>
              <w:top w:val="nil"/>
              <w:left w:val="nil"/>
              <w:bottom w:val="nil"/>
              <w:right w:val="nil"/>
            </w:tcBorders>
            <w:shd w:val="clear" w:color="000000" w:fill="FFFFFF"/>
            <w:vAlign w:val="center"/>
            <w:hideMark/>
          </w:tcPr>
          <w:p w14:paraId="1DE4F815"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£'000</w:t>
            </w:r>
          </w:p>
        </w:tc>
        <w:tc>
          <w:tcPr>
            <w:tcW w:w="1320" w:type="dxa"/>
            <w:tcBorders>
              <w:top w:val="single" w:sz="4" w:space="0" w:color="auto"/>
              <w:left w:val="single" w:sz="4" w:space="0" w:color="auto"/>
              <w:bottom w:val="nil"/>
              <w:right w:val="single" w:sz="4" w:space="0" w:color="auto"/>
            </w:tcBorders>
            <w:shd w:val="clear" w:color="000000" w:fill="FFFFFF"/>
            <w:vAlign w:val="center"/>
            <w:hideMark/>
          </w:tcPr>
          <w:p w14:paraId="740DECAE" w14:textId="77777777" w:rsidR="001157F2" w:rsidRPr="00A31DDD" w:rsidRDefault="001157F2" w:rsidP="001157F2">
            <w:pPr>
              <w:jc w:val="right"/>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46,253 </w:t>
            </w:r>
          </w:p>
        </w:tc>
      </w:tr>
      <w:tr w:rsidR="001157F2" w:rsidRPr="00A31DDD" w14:paraId="44F51223" w14:textId="77777777" w:rsidTr="001157F2">
        <w:trPr>
          <w:trHeight w:val="360"/>
        </w:trPr>
        <w:tc>
          <w:tcPr>
            <w:tcW w:w="500" w:type="dxa"/>
            <w:tcBorders>
              <w:top w:val="nil"/>
              <w:left w:val="nil"/>
              <w:bottom w:val="nil"/>
              <w:right w:val="nil"/>
            </w:tcBorders>
            <w:shd w:val="clear" w:color="000000" w:fill="FFFFFF"/>
            <w:noWrap/>
            <w:vAlign w:val="bottom"/>
            <w:hideMark/>
          </w:tcPr>
          <w:p w14:paraId="3FB26299"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nil"/>
              <w:left w:val="single" w:sz="4" w:space="0" w:color="auto"/>
              <w:bottom w:val="single" w:sz="4" w:space="0" w:color="auto"/>
              <w:right w:val="single" w:sz="4" w:space="0" w:color="auto"/>
            </w:tcBorders>
            <w:vAlign w:val="center"/>
            <w:hideMark/>
          </w:tcPr>
          <w:p w14:paraId="397D6D09"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Less Independent and non-maintained placement</w:t>
            </w:r>
          </w:p>
        </w:tc>
        <w:tc>
          <w:tcPr>
            <w:tcW w:w="1940" w:type="dxa"/>
            <w:tcBorders>
              <w:top w:val="nil"/>
              <w:left w:val="nil"/>
              <w:bottom w:val="nil"/>
              <w:right w:val="nil"/>
            </w:tcBorders>
            <w:shd w:val="clear" w:color="000000" w:fill="FFFFFF"/>
            <w:vAlign w:val="center"/>
            <w:hideMark/>
          </w:tcPr>
          <w:p w14:paraId="1BCCC9DD"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£'000</w:t>
            </w:r>
          </w:p>
        </w:tc>
        <w:tc>
          <w:tcPr>
            <w:tcW w:w="1320" w:type="dxa"/>
            <w:tcBorders>
              <w:top w:val="single" w:sz="4" w:space="0" w:color="auto"/>
              <w:left w:val="single" w:sz="4" w:space="0" w:color="auto"/>
              <w:bottom w:val="nil"/>
              <w:right w:val="single" w:sz="4" w:space="0" w:color="auto"/>
            </w:tcBorders>
            <w:shd w:val="clear" w:color="000000" w:fill="FFFFFF"/>
            <w:vAlign w:val="center"/>
            <w:hideMark/>
          </w:tcPr>
          <w:p w14:paraId="1A68E3BA" w14:textId="77777777" w:rsidR="001157F2" w:rsidRPr="00A31DDD" w:rsidRDefault="001157F2" w:rsidP="001157F2">
            <w:pPr>
              <w:jc w:val="right"/>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(14,950)</w:t>
            </w:r>
          </w:p>
        </w:tc>
      </w:tr>
      <w:tr w:rsidR="001157F2" w:rsidRPr="00A31DDD" w14:paraId="12E34C03" w14:textId="77777777" w:rsidTr="001157F2">
        <w:trPr>
          <w:trHeight w:val="360"/>
        </w:trPr>
        <w:tc>
          <w:tcPr>
            <w:tcW w:w="500" w:type="dxa"/>
            <w:tcBorders>
              <w:top w:val="nil"/>
              <w:left w:val="nil"/>
              <w:bottom w:val="nil"/>
              <w:right w:val="nil"/>
            </w:tcBorders>
            <w:shd w:val="clear" w:color="000000" w:fill="FFFFFF"/>
            <w:noWrap/>
            <w:vAlign w:val="bottom"/>
            <w:hideMark/>
          </w:tcPr>
          <w:p w14:paraId="08C5B211"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nil"/>
              <w:left w:val="single" w:sz="4" w:space="0" w:color="auto"/>
              <w:bottom w:val="single" w:sz="4" w:space="0" w:color="auto"/>
              <w:right w:val="single" w:sz="4" w:space="0" w:color="auto"/>
            </w:tcBorders>
            <w:vAlign w:val="center"/>
            <w:hideMark/>
          </w:tcPr>
          <w:p w14:paraId="234CF87D"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Net Expenditure</w:t>
            </w:r>
          </w:p>
        </w:tc>
        <w:tc>
          <w:tcPr>
            <w:tcW w:w="1940" w:type="dxa"/>
            <w:tcBorders>
              <w:top w:val="nil"/>
              <w:left w:val="nil"/>
              <w:bottom w:val="nil"/>
              <w:right w:val="nil"/>
            </w:tcBorders>
            <w:shd w:val="clear" w:color="000000" w:fill="FFFFFF"/>
            <w:vAlign w:val="center"/>
            <w:hideMark/>
          </w:tcPr>
          <w:p w14:paraId="5AE5A3BB"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£'000</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73259" w14:textId="77777777" w:rsidR="001157F2" w:rsidRPr="00A31DDD" w:rsidRDefault="001157F2" w:rsidP="001157F2">
            <w:pPr>
              <w:jc w:val="right"/>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31,302 </w:t>
            </w:r>
          </w:p>
        </w:tc>
      </w:tr>
      <w:tr w:rsidR="001157F2" w:rsidRPr="00A31DDD" w14:paraId="52775A6C" w14:textId="77777777" w:rsidTr="001157F2">
        <w:trPr>
          <w:trHeight w:val="360"/>
        </w:trPr>
        <w:tc>
          <w:tcPr>
            <w:tcW w:w="500" w:type="dxa"/>
            <w:tcBorders>
              <w:top w:val="nil"/>
              <w:left w:val="nil"/>
              <w:bottom w:val="nil"/>
              <w:right w:val="nil"/>
            </w:tcBorders>
            <w:shd w:val="clear" w:color="000000" w:fill="FFFFFF"/>
            <w:noWrap/>
            <w:vAlign w:val="bottom"/>
            <w:hideMark/>
          </w:tcPr>
          <w:p w14:paraId="34E7D41A"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nil"/>
              <w:left w:val="nil"/>
              <w:bottom w:val="nil"/>
              <w:right w:val="nil"/>
            </w:tcBorders>
            <w:shd w:val="clear" w:color="000000" w:fill="FFFFFF"/>
            <w:noWrap/>
            <w:vAlign w:val="bottom"/>
            <w:hideMark/>
          </w:tcPr>
          <w:p w14:paraId="3CC0A816"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c>
          <w:tcPr>
            <w:tcW w:w="1940" w:type="dxa"/>
            <w:tcBorders>
              <w:top w:val="nil"/>
              <w:left w:val="nil"/>
              <w:bottom w:val="nil"/>
              <w:right w:val="nil"/>
            </w:tcBorders>
            <w:shd w:val="clear" w:color="000000" w:fill="FFFFFF"/>
            <w:noWrap/>
            <w:vAlign w:val="bottom"/>
            <w:hideMark/>
          </w:tcPr>
          <w:p w14:paraId="45FD2823"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c>
          <w:tcPr>
            <w:tcW w:w="1320" w:type="dxa"/>
            <w:tcBorders>
              <w:top w:val="nil"/>
              <w:left w:val="nil"/>
              <w:bottom w:val="nil"/>
              <w:right w:val="nil"/>
            </w:tcBorders>
            <w:shd w:val="clear" w:color="000000" w:fill="FFFFFF"/>
            <w:noWrap/>
            <w:vAlign w:val="bottom"/>
            <w:hideMark/>
          </w:tcPr>
          <w:p w14:paraId="1BF99FE2"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r>
      <w:tr w:rsidR="001157F2" w:rsidRPr="00A31DDD" w14:paraId="77B254B8" w14:textId="77777777" w:rsidTr="001157F2">
        <w:trPr>
          <w:trHeight w:val="360"/>
        </w:trPr>
        <w:tc>
          <w:tcPr>
            <w:tcW w:w="500" w:type="dxa"/>
            <w:tcBorders>
              <w:top w:val="nil"/>
              <w:left w:val="nil"/>
              <w:bottom w:val="nil"/>
              <w:right w:val="nil"/>
            </w:tcBorders>
            <w:shd w:val="clear" w:color="000000" w:fill="FFFFFF"/>
            <w:noWrap/>
            <w:vAlign w:val="bottom"/>
            <w:hideMark/>
          </w:tcPr>
          <w:p w14:paraId="47D4B95A"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single" w:sz="4" w:space="0" w:color="auto"/>
              <w:left w:val="single" w:sz="4" w:space="0" w:color="auto"/>
              <w:bottom w:val="single" w:sz="4" w:space="0" w:color="auto"/>
              <w:right w:val="single" w:sz="4" w:space="0" w:color="auto"/>
            </w:tcBorders>
            <w:vAlign w:val="center"/>
            <w:hideMark/>
          </w:tcPr>
          <w:p w14:paraId="46D77C8C"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Total no. of EHCP</w:t>
            </w:r>
          </w:p>
        </w:tc>
        <w:tc>
          <w:tcPr>
            <w:tcW w:w="1940" w:type="dxa"/>
            <w:tcBorders>
              <w:top w:val="nil"/>
              <w:left w:val="nil"/>
              <w:bottom w:val="nil"/>
              <w:right w:val="nil"/>
            </w:tcBorders>
            <w:shd w:val="clear" w:color="000000" w:fill="FFFFFF"/>
            <w:vAlign w:val="center"/>
            <w:hideMark/>
          </w:tcPr>
          <w:p w14:paraId="53D1F24E"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1320" w:type="dxa"/>
            <w:tcBorders>
              <w:top w:val="single" w:sz="4" w:space="0" w:color="auto"/>
              <w:left w:val="single" w:sz="4" w:space="0" w:color="auto"/>
              <w:bottom w:val="nil"/>
              <w:right w:val="single" w:sz="4" w:space="0" w:color="auto"/>
            </w:tcBorders>
            <w:shd w:val="clear" w:color="000000" w:fill="FFFFFF"/>
            <w:vAlign w:val="center"/>
            <w:hideMark/>
          </w:tcPr>
          <w:p w14:paraId="3849864F" w14:textId="77777777" w:rsidR="001157F2" w:rsidRPr="00A31DDD" w:rsidRDefault="001157F2" w:rsidP="001157F2">
            <w:pPr>
              <w:jc w:val="right"/>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2,291 </w:t>
            </w:r>
          </w:p>
        </w:tc>
      </w:tr>
      <w:tr w:rsidR="001157F2" w:rsidRPr="00A31DDD" w14:paraId="6DAEE638" w14:textId="77777777" w:rsidTr="001157F2">
        <w:trPr>
          <w:trHeight w:val="360"/>
        </w:trPr>
        <w:tc>
          <w:tcPr>
            <w:tcW w:w="500" w:type="dxa"/>
            <w:tcBorders>
              <w:top w:val="nil"/>
              <w:left w:val="nil"/>
              <w:bottom w:val="nil"/>
              <w:right w:val="nil"/>
            </w:tcBorders>
            <w:shd w:val="clear" w:color="000000" w:fill="FFFFFF"/>
            <w:noWrap/>
            <w:vAlign w:val="bottom"/>
            <w:hideMark/>
          </w:tcPr>
          <w:p w14:paraId="0F6916C0"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nil"/>
              <w:left w:val="single" w:sz="4" w:space="0" w:color="auto"/>
              <w:bottom w:val="single" w:sz="4" w:space="0" w:color="auto"/>
              <w:right w:val="single" w:sz="4" w:space="0" w:color="auto"/>
            </w:tcBorders>
            <w:vAlign w:val="center"/>
            <w:hideMark/>
          </w:tcPr>
          <w:p w14:paraId="4D9A799F"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Less Independent and non-maintained placement</w:t>
            </w:r>
          </w:p>
        </w:tc>
        <w:tc>
          <w:tcPr>
            <w:tcW w:w="1940" w:type="dxa"/>
            <w:tcBorders>
              <w:top w:val="nil"/>
              <w:left w:val="nil"/>
              <w:bottom w:val="nil"/>
              <w:right w:val="nil"/>
            </w:tcBorders>
            <w:shd w:val="clear" w:color="000000" w:fill="FFFFFF"/>
            <w:vAlign w:val="center"/>
            <w:hideMark/>
          </w:tcPr>
          <w:p w14:paraId="3A38B99B"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1320" w:type="dxa"/>
            <w:tcBorders>
              <w:top w:val="single" w:sz="4" w:space="0" w:color="auto"/>
              <w:left w:val="single" w:sz="4" w:space="0" w:color="auto"/>
              <w:bottom w:val="nil"/>
              <w:right w:val="single" w:sz="4" w:space="0" w:color="auto"/>
            </w:tcBorders>
            <w:shd w:val="clear" w:color="000000" w:fill="FFFFFF"/>
            <w:vAlign w:val="center"/>
            <w:hideMark/>
          </w:tcPr>
          <w:p w14:paraId="2D3537EA" w14:textId="77777777" w:rsidR="001157F2" w:rsidRPr="00A31DDD" w:rsidRDefault="001157F2" w:rsidP="001157F2">
            <w:pPr>
              <w:jc w:val="right"/>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217 </w:t>
            </w:r>
          </w:p>
        </w:tc>
      </w:tr>
      <w:tr w:rsidR="001157F2" w:rsidRPr="00A31DDD" w14:paraId="18E17961" w14:textId="77777777" w:rsidTr="001157F2">
        <w:trPr>
          <w:trHeight w:val="360"/>
        </w:trPr>
        <w:tc>
          <w:tcPr>
            <w:tcW w:w="500" w:type="dxa"/>
            <w:tcBorders>
              <w:top w:val="nil"/>
              <w:left w:val="nil"/>
              <w:bottom w:val="nil"/>
              <w:right w:val="nil"/>
            </w:tcBorders>
            <w:shd w:val="clear" w:color="000000" w:fill="FFFFFF"/>
            <w:noWrap/>
            <w:vAlign w:val="bottom"/>
            <w:hideMark/>
          </w:tcPr>
          <w:p w14:paraId="69C2E6DB"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nil"/>
              <w:left w:val="single" w:sz="4" w:space="0" w:color="auto"/>
              <w:bottom w:val="single" w:sz="4" w:space="0" w:color="auto"/>
              <w:right w:val="single" w:sz="4" w:space="0" w:color="auto"/>
            </w:tcBorders>
            <w:vAlign w:val="center"/>
            <w:hideMark/>
          </w:tcPr>
          <w:p w14:paraId="751F4AC7"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Net no. of EHCP</w:t>
            </w:r>
          </w:p>
        </w:tc>
        <w:tc>
          <w:tcPr>
            <w:tcW w:w="1940" w:type="dxa"/>
            <w:tcBorders>
              <w:top w:val="nil"/>
              <w:left w:val="nil"/>
              <w:bottom w:val="nil"/>
              <w:right w:val="nil"/>
            </w:tcBorders>
            <w:shd w:val="clear" w:color="000000" w:fill="FFFFFF"/>
            <w:vAlign w:val="center"/>
            <w:hideMark/>
          </w:tcPr>
          <w:p w14:paraId="4C84B1B9"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2E2BF" w14:textId="77777777" w:rsidR="001157F2" w:rsidRPr="00A31DDD" w:rsidRDefault="001157F2" w:rsidP="001157F2">
            <w:pPr>
              <w:jc w:val="right"/>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2,508 </w:t>
            </w:r>
          </w:p>
        </w:tc>
      </w:tr>
      <w:tr w:rsidR="001157F2" w:rsidRPr="00A31DDD" w14:paraId="47EBAEFA" w14:textId="77777777" w:rsidTr="001157F2">
        <w:trPr>
          <w:trHeight w:val="360"/>
        </w:trPr>
        <w:tc>
          <w:tcPr>
            <w:tcW w:w="500" w:type="dxa"/>
            <w:tcBorders>
              <w:top w:val="nil"/>
              <w:left w:val="nil"/>
              <w:bottom w:val="nil"/>
              <w:right w:val="nil"/>
            </w:tcBorders>
            <w:shd w:val="clear" w:color="000000" w:fill="FFFFFF"/>
            <w:noWrap/>
            <w:vAlign w:val="bottom"/>
            <w:hideMark/>
          </w:tcPr>
          <w:p w14:paraId="1CFA365D"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nil"/>
              <w:left w:val="nil"/>
              <w:bottom w:val="nil"/>
              <w:right w:val="nil"/>
            </w:tcBorders>
            <w:shd w:val="clear" w:color="000000" w:fill="FFFFFF"/>
            <w:noWrap/>
            <w:vAlign w:val="bottom"/>
            <w:hideMark/>
          </w:tcPr>
          <w:p w14:paraId="46044322"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c>
          <w:tcPr>
            <w:tcW w:w="1940" w:type="dxa"/>
            <w:tcBorders>
              <w:top w:val="nil"/>
              <w:left w:val="nil"/>
              <w:bottom w:val="nil"/>
              <w:right w:val="nil"/>
            </w:tcBorders>
            <w:shd w:val="clear" w:color="000000" w:fill="FFFFFF"/>
            <w:noWrap/>
            <w:vAlign w:val="bottom"/>
            <w:hideMark/>
          </w:tcPr>
          <w:p w14:paraId="2C9055C8"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 </w:t>
            </w:r>
          </w:p>
        </w:tc>
        <w:tc>
          <w:tcPr>
            <w:tcW w:w="1320" w:type="dxa"/>
            <w:tcBorders>
              <w:top w:val="nil"/>
              <w:left w:val="nil"/>
              <w:bottom w:val="nil"/>
              <w:right w:val="nil"/>
            </w:tcBorders>
            <w:shd w:val="clear" w:color="000000" w:fill="FFFFFF"/>
            <w:noWrap/>
            <w:vAlign w:val="bottom"/>
            <w:hideMark/>
          </w:tcPr>
          <w:p w14:paraId="383798BF"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r>
      <w:tr w:rsidR="001157F2" w:rsidRPr="00A31DDD" w14:paraId="3C25C882" w14:textId="77777777" w:rsidTr="001157F2">
        <w:trPr>
          <w:trHeight w:val="360"/>
        </w:trPr>
        <w:tc>
          <w:tcPr>
            <w:tcW w:w="500" w:type="dxa"/>
            <w:tcBorders>
              <w:top w:val="nil"/>
              <w:left w:val="nil"/>
              <w:bottom w:val="nil"/>
              <w:right w:val="nil"/>
            </w:tcBorders>
            <w:shd w:val="clear" w:color="000000" w:fill="FFFFFF"/>
            <w:noWrap/>
            <w:vAlign w:val="bottom"/>
            <w:hideMark/>
          </w:tcPr>
          <w:p w14:paraId="37A4939F"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single" w:sz="4" w:space="0" w:color="auto"/>
              <w:left w:val="single" w:sz="4" w:space="0" w:color="auto"/>
              <w:bottom w:val="single" w:sz="4" w:space="0" w:color="auto"/>
              <w:right w:val="single" w:sz="4" w:space="0" w:color="auto"/>
            </w:tcBorders>
            <w:vAlign w:val="center"/>
            <w:hideMark/>
          </w:tcPr>
          <w:p w14:paraId="3FC01CB1"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Average cost </w:t>
            </w:r>
          </w:p>
        </w:tc>
        <w:tc>
          <w:tcPr>
            <w:tcW w:w="1940" w:type="dxa"/>
            <w:tcBorders>
              <w:top w:val="nil"/>
              <w:left w:val="nil"/>
              <w:bottom w:val="nil"/>
              <w:right w:val="nil"/>
            </w:tcBorders>
            <w:shd w:val="clear" w:color="000000" w:fill="FFFFFF"/>
            <w:vAlign w:val="center"/>
            <w:hideMark/>
          </w:tcPr>
          <w:p w14:paraId="48199BA6"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£'000</w:t>
            </w:r>
          </w:p>
        </w:tc>
        <w:tc>
          <w:tcPr>
            <w:tcW w:w="1320" w:type="dxa"/>
            <w:tcBorders>
              <w:top w:val="single" w:sz="4" w:space="0" w:color="auto"/>
              <w:left w:val="single" w:sz="4" w:space="0" w:color="auto"/>
              <w:bottom w:val="nil"/>
              <w:right w:val="single" w:sz="4" w:space="0" w:color="auto"/>
            </w:tcBorders>
            <w:shd w:val="clear" w:color="000000" w:fill="FFFFFF"/>
            <w:vAlign w:val="center"/>
            <w:hideMark/>
          </w:tcPr>
          <w:p w14:paraId="197517FB" w14:textId="77777777" w:rsidR="001157F2" w:rsidRPr="00A31DDD" w:rsidRDefault="001157F2" w:rsidP="001157F2">
            <w:pPr>
              <w:jc w:val="right"/>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20.2 </w:t>
            </w:r>
          </w:p>
        </w:tc>
      </w:tr>
      <w:tr w:rsidR="001157F2" w:rsidRPr="00A31DDD" w14:paraId="2DF49B71" w14:textId="77777777" w:rsidTr="001157F2">
        <w:trPr>
          <w:trHeight w:val="360"/>
        </w:trPr>
        <w:tc>
          <w:tcPr>
            <w:tcW w:w="500" w:type="dxa"/>
            <w:tcBorders>
              <w:top w:val="nil"/>
              <w:left w:val="nil"/>
              <w:bottom w:val="nil"/>
              <w:right w:val="nil"/>
            </w:tcBorders>
            <w:shd w:val="clear" w:color="000000" w:fill="FFFFFF"/>
            <w:noWrap/>
            <w:vAlign w:val="bottom"/>
            <w:hideMark/>
          </w:tcPr>
          <w:p w14:paraId="1089F247"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nil"/>
              <w:left w:val="single" w:sz="4" w:space="0" w:color="auto"/>
              <w:bottom w:val="single" w:sz="4" w:space="0" w:color="auto"/>
              <w:right w:val="single" w:sz="4" w:space="0" w:color="auto"/>
            </w:tcBorders>
            <w:vAlign w:val="center"/>
            <w:hideMark/>
          </w:tcPr>
          <w:p w14:paraId="17205979"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Less Independent and non-maintained placement</w:t>
            </w:r>
          </w:p>
        </w:tc>
        <w:tc>
          <w:tcPr>
            <w:tcW w:w="1940" w:type="dxa"/>
            <w:tcBorders>
              <w:top w:val="nil"/>
              <w:left w:val="nil"/>
              <w:bottom w:val="nil"/>
              <w:right w:val="nil"/>
            </w:tcBorders>
            <w:shd w:val="clear" w:color="000000" w:fill="FFFFFF"/>
            <w:vAlign w:val="center"/>
            <w:hideMark/>
          </w:tcPr>
          <w:p w14:paraId="4F153BF7"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£'000</w:t>
            </w:r>
          </w:p>
        </w:tc>
        <w:tc>
          <w:tcPr>
            <w:tcW w:w="1320" w:type="dxa"/>
            <w:tcBorders>
              <w:top w:val="single" w:sz="4" w:space="0" w:color="auto"/>
              <w:left w:val="single" w:sz="4" w:space="0" w:color="auto"/>
              <w:bottom w:val="nil"/>
              <w:right w:val="single" w:sz="4" w:space="0" w:color="auto"/>
            </w:tcBorders>
            <w:shd w:val="clear" w:color="000000" w:fill="FFFFFF"/>
            <w:vAlign w:val="center"/>
            <w:hideMark/>
          </w:tcPr>
          <w:p w14:paraId="7CAA57BB" w14:textId="77777777" w:rsidR="001157F2" w:rsidRPr="00A31DDD" w:rsidRDefault="001157F2" w:rsidP="001157F2">
            <w:pPr>
              <w:jc w:val="right"/>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(68.9)</w:t>
            </w:r>
          </w:p>
        </w:tc>
      </w:tr>
      <w:tr w:rsidR="001157F2" w:rsidRPr="00A31DDD" w14:paraId="0039D0E4" w14:textId="77777777" w:rsidTr="001157F2">
        <w:trPr>
          <w:trHeight w:val="360"/>
        </w:trPr>
        <w:tc>
          <w:tcPr>
            <w:tcW w:w="500" w:type="dxa"/>
            <w:tcBorders>
              <w:top w:val="nil"/>
              <w:left w:val="nil"/>
              <w:bottom w:val="nil"/>
              <w:right w:val="nil"/>
            </w:tcBorders>
            <w:shd w:val="clear" w:color="000000" w:fill="FFFFFF"/>
            <w:noWrap/>
            <w:vAlign w:val="bottom"/>
            <w:hideMark/>
          </w:tcPr>
          <w:p w14:paraId="1BFC174B" w14:textId="77777777" w:rsidR="001157F2" w:rsidRPr="00A31DDD" w:rsidRDefault="001157F2" w:rsidP="001157F2">
            <w:pPr>
              <w:jc w:val="cente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w:t>
            </w:r>
          </w:p>
        </w:tc>
        <w:tc>
          <w:tcPr>
            <w:tcW w:w="4720" w:type="dxa"/>
            <w:tcBorders>
              <w:top w:val="nil"/>
              <w:left w:val="single" w:sz="4" w:space="0" w:color="auto"/>
              <w:bottom w:val="single" w:sz="4" w:space="0" w:color="auto"/>
              <w:right w:val="single" w:sz="4" w:space="0" w:color="auto"/>
            </w:tcBorders>
            <w:vAlign w:val="center"/>
            <w:hideMark/>
          </w:tcPr>
          <w:p w14:paraId="31165889"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Average cost (exclude INMSS)</w:t>
            </w:r>
          </w:p>
        </w:tc>
        <w:tc>
          <w:tcPr>
            <w:tcW w:w="1940" w:type="dxa"/>
            <w:tcBorders>
              <w:top w:val="nil"/>
              <w:left w:val="nil"/>
              <w:bottom w:val="nil"/>
              <w:right w:val="nil"/>
            </w:tcBorders>
            <w:shd w:val="clear" w:color="000000" w:fill="FFFFFF"/>
            <w:vAlign w:val="center"/>
            <w:hideMark/>
          </w:tcPr>
          <w:p w14:paraId="414F53C4"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£'000</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D516F" w14:textId="77777777" w:rsidR="001157F2" w:rsidRPr="00A31DDD" w:rsidRDefault="001157F2" w:rsidP="001157F2">
            <w:pPr>
              <w:jc w:val="right"/>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12.5 </w:t>
            </w:r>
          </w:p>
        </w:tc>
      </w:tr>
    </w:tbl>
    <w:p w14:paraId="67D0DADF" w14:textId="0FC34489" w:rsidR="001157F2" w:rsidRPr="00A31DDD" w:rsidRDefault="001157F2" w:rsidP="001157F2">
      <w:pPr>
        <w:rPr>
          <w:rFonts w:ascii="Calibri" w:hAnsi="Calibri" w:cs="Calibri"/>
          <w:sz w:val="22"/>
          <w:szCs w:val="22"/>
        </w:rPr>
      </w:pPr>
    </w:p>
    <w:p w14:paraId="5E4D607A" w14:textId="77777777" w:rsidR="001157F2" w:rsidRPr="00A31DDD" w:rsidRDefault="001157F2" w:rsidP="001157F2">
      <w:pPr>
        <w:rPr>
          <w:rFonts w:ascii="Calibri" w:hAnsi="Calibri" w:cs="Calibri"/>
          <w:sz w:val="22"/>
          <w:szCs w:val="22"/>
        </w:rPr>
      </w:pPr>
    </w:p>
    <w:p w14:paraId="3488B5FE" w14:textId="77777777" w:rsidR="000745A4" w:rsidRPr="00A31DDD" w:rsidRDefault="001157F2" w:rsidP="001157F2">
      <w:pPr>
        <w:rPr>
          <w:rFonts w:ascii="Calibri" w:hAnsi="Calibri" w:cs="Calibri"/>
          <w:b/>
          <w:bCs/>
          <w:sz w:val="22"/>
          <w:szCs w:val="22"/>
        </w:rPr>
      </w:pPr>
      <w:r w:rsidRPr="00A31DDD">
        <w:rPr>
          <w:rFonts w:ascii="Calibri" w:hAnsi="Calibri" w:cs="Calibri"/>
          <w:b/>
          <w:bCs/>
          <w:sz w:val="22"/>
          <w:szCs w:val="22"/>
        </w:rPr>
        <w:t xml:space="preserve">4. Cease to maintain decisions and outcomes </w:t>
      </w:r>
      <w:proofErr w:type="gramStart"/>
      <w:r w:rsidRPr="00A31DDD">
        <w:rPr>
          <w:rFonts w:ascii="Calibri" w:hAnsi="Calibri" w:cs="Calibri"/>
          <w:b/>
          <w:bCs/>
          <w:sz w:val="22"/>
          <w:szCs w:val="22"/>
        </w:rPr>
        <w:t>For</w:t>
      </w:r>
      <w:proofErr w:type="gramEnd"/>
      <w:r w:rsidRPr="00A31DDD">
        <w:rPr>
          <w:rFonts w:ascii="Calibri" w:hAnsi="Calibri" w:cs="Calibri"/>
          <w:b/>
          <w:bCs/>
          <w:sz w:val="22"/>
          <w:szCs w:val="22"/>
        </w:rPr>
        <w:t xml:space="preserve"> each of 2023, 2024, and 2025:</w:t>
      </w:r>
    </w:p>
    <w:p w14:paraId="25FF26AA" w14:textId="016DFC16" w:rsidR="000745A4" w:rsidRPr="00A31DDD" w:rsidRDefault="001157F2" w:rsidP="001157F2">
      <w:pPr>
        <w:rPr>
          <w:rFonts w:ascii="Calibri" w:hAnsi="Calibri" w:cs="Calibri"/>
          <w:b/>
          <w:bCs/>
          <w:sz w:val="22"/>
          <w:szCs w:val="22"/>
        </w:rPr>
      </w:pPr>
      <w:r w:rsidRPr="00A31DDD">
        <w:rPr>
          <w:rFonts w:ascii="Calibri" w:hAnsi="Calibri" w:cs="Calibri"/>
          <w:b/>
          <w:bCs/>
          <w:sz w:val="22"/>
          <w:szCs w:val="22"/>
        </w:rPr>
        <w:t>a) the total number of decisions by your authority to cease to maintain an EHCP;</w:t>
      </w:r>
    </w:p>
    <w:p w14:paraId="54A71525" w14:textId="20EE142B" w:rsidR="000745A4" w:rsidRPr="00A31DDD" w:rsidRDefault="000745A4" w:rsidP="000745A4">
      <w:pPr>
        <w:rPr>
          <w:rFonts w:ascii="Calibri" w:hAnsi="Calibri" w:cs="Calibri"/>
          <w:sz w:val="22"/>
          <w:szCs w:val="22"/>
        </w:rPr>
      </w:pPr>
      <w:r w:rsidRPr="00A31DDD">
        <w:rPr>
          <w:rFonts w:ascii="Calibri" w:hAnsi="Calibri" w:cs="Calibri"/>
          <w:sz w:val="22"/>
          <w:szCs w:val="22"/>
        </w:rPr>
        <w:t xml:space="preserve">Calendar year 2023, 2024 figures can be found in </w:t>
      </w:r>
      <w:hyperlink r:id="rId9" w:history="1">
        <w:r w:rsidRPr="00A31DDD">
          <w:rPr>
            <w:rStyle w:val="Hyperlink"/>
            <w:rFonts w:ascii="Calibri" w:hAnsi="Calibri" w:cs="Calibri"/>
            <w:color w:val="auto"/>
            <w:sz w:val="22"/>
            <w:szCs w:val="22"/>
          </w:rPr>
          <w:t>Special educational needs in England: January 2025 - GOV.UK</w:t>
        </w:r>
      </w:hyperlink>
    </w:p>
    <w:p w14:paraId="0D0750FA" w14:textId="736C8D43" w:rsidR="000745A4" w:rsidRPr="00A31DDD" w:rsidRDefault="000745A4" w:rsidP="001157F2">
      <w:pPr>
        <w:rPr>
          <w:rFonts w:ascii="Calibri" w:hAnsi="Calibri" w:cs="Calibri"/>
          <w:sz w:val="22"/>
          <w:szCs w:val="22"/>
        </w:rPr>
      </w:pPr>
      <w:r w:rsidRPr="00A31DDD">
        <w:rPr>
          <w:rFonts w:ascii="Calibri" w:hAnsi="Calibri" w:cs="Calibri"/>
          <w:sz w:val="22"/>
          <w:szCs w:val="22"/>
        </w:rPr>
        <w:t xml:space="preserve">Calendar year 2025: 120 </w:t>
      </w:r>
      <w:r w:rsidR="001157F2" w:rsidRPr="00A31DDD">
        <w:rPr>
          <w:rFonts w:ascii="Calibri" w:hAnsi="Calibri" w:cs="Calibri"/>
          <w:sz w:val="22"/>
          <w:szCs w:val="22"/>
        </w:rPr>
        <w:br/>
      </w:r>
      <w:r w:rsidR="001157F2" w:rsidRPr="00A31DDD">
        <w:rPr>
          <w:rFonts w:ascii="Calibri" w:hAnsi="Calibri" w:cs="Calibri"/>
          <w:b/>
          <w:bCs/>
          <w:sz w:val="22"/>
          <w:szCs w:val="22"/>
        </w:rPr>
        <w:t>b) the number of those decisions subsequently challenged by parents or young persons through appeal to the SEND Tribunal;</w:t>
      </w:r>
    </w:p>
    <w:p w14:paraId="0244CB7A" w14:textId="77777777" w:rsidR="000745A4" w:rsidRPr="00A31DDD" w:rsidRDefault="000745A4" w:rsidP="000745A4">
      <w:pPr>
        <w:rPr>
          <w:rFonts w:ascii="Calibri" w:hAnsi="Calibri" w:cs="Calibri"/>
          <w:sz w:val="22"/>
          <w:szCs w:val="22"/>
        </w:rPr>
      </w:pPr>
      <w:r w:rsidRPr="00A31DDD">
        <w:rPr>
          <w:rFonts w:ascii="Calibri" w:hAnsi="Calibri" w:cs="Calibri"/>
          <w:sz w:val="22"/>
          <w:szCs w:val="22"/>
        </w:rPr>
        <w:lastRenderedPageBreak/>
        <w:t>2023: 0</w:t>
      </w:r>
    </w:p>
    <w:p w14:paraId="29EB2A87" w14:textId="3C18F60D" w:rsidR="000745A4" w:rsidRPr="00A31DDD" w:rsidRDefault="000745A4" w:rsidP="000745A4">
      <w:pPr>
        <w:rPr>
          <w:rFonts w:ascii="Calibri" w:hAnsi="Calibri" w:cs="Calibri"/>
          <w:sz w:val="22"/>
          <w:szCs w:val="22"/>
        </w:rPr>
      </w:pPr>
      <w:r w:rsidRPr="00A31DDD">
        <w:rPr>
          <w:rFonts w:ascii="Calibri" w:hAnsi="Calibri" w:cs="Calibri"/>
          <w:sz w:val="22"/>
          <w:szCs w:val="22"/>
        </w:rPr>
        <w:t>2024: 1</w:t>
      </w:r>
    </w:p>
    <w:p w14:paraId="4F8640AC" w14:textId="3DCB5216" w:rsidR="000745A4" w:rsidRPr="00A31DDD" w:rsidRDefault="000745A4" w:rsidP="000745A4">
      <w:pPr>
        <w:rPr>
          <w:rFonts w:ascii="Calibri" w:hAnsi="Calibri" w:cs="Calibri"/>
          <w:sz w:val="22"/>
          <w:szCs w:val="22"/>
        </w:rPr>
      </w:pPr>
      <w:r w:rsidRPr="00A31DDD">
        <w:rPr>
          <w:rFonts w:ascii="Calibri" w:hAnsi="Calibri" w:cs="Calibri"/>
          <w:sz w:val="22"/>
          <w:szCs w:val="22"/>
        </w:rPr>
        <w:t>2025: 0</w:t>
      </w:r>
    </w:p>
    <w:p w14:paraId="7A81121C" w14:textId="6A09FC0D" w:rsidR="00AC2E60" w:rsidRPr="00A31DDD" w:rsidRDefault="001157F2" w:rsidP="001157F2">
      <w:pPr>
        <w:rPr>
          <w:rFonts w:ascii="Calibri" w:hAnsi="Calibri" w:cs="Calibri"/>
          <w:sz w:val="22"/>
          <w:szCs w:val="22"/>
        </w:rPr>
      </w:pPr>
      <w:r w:rsidRPr="00A31DDD">
        <w:rPr>
          <w:rFonts w:ascii="Calibri" w:hAnsi="Calibri" w:cs="Calibri"/>
          <w:b/>
          <w:bCs/>
          <w:sz w:val="22"/>
          <w:szCs w:val="22"/>
        </w:rPr>
        <w:t>c) of the appeals at (b), the number conceded by your authority before hearing</w:t>
      </w:r>
      <w:r w:rsidR="00A31DDD" w:rsidRPr="00A31DDD">
        <w:rPr>
          <w:rFonts w:ascii="Calibri" w:hAnsi="Calibri" w:cs="Calibri"/>
          <w:b/>
          <w:bCs/>
          <w:sz w:val="22"/>
          <w:szCs w:val="22"/>
        </w:rPr>
        <w:t xml:space="preserve">: </w:t>
      </w:r>
      <w:r w:rsidR="00551035" w:rsidRPr="00A31DDD">
        <w:rPr>
          <w:rFonts w:ascii="Calibri" w:hAnsi="Calibri" w:cs="Calibri"/>
          <w:sz w:val="22"/>
          <w:szCs w:val="22"/>
        </w:rPr>
        <w:t>N/A</w:t>
      </w:r>
    </w:p>
    <w:p w14:paraId="4AA96CFB" w14:textId="17838DBE" w:rsidR="00AC2E60" w:rsidRPr="00A31DDD" w:rsidRDefault="001157F2" w:rsidP="001157F2">
      <w:pPr>
        <w:rPr>
          <w:rFonts w:ascii="Calibri" w:hAnsi="Calibri" w:cs="Calibri"/>
          <w:sz w:val="22"/>
          <w:szCs w:val="22"/>
        </w:rPr>
      </w:pPr>
      <w:r w:rsidRPr="00A31DDD">
        <w:rPr>
          <w:rFonts w:ascii="Calibri" w:hAnsi="Calibri" w:cs="Calibri"/>
          <w:b/>
          <w:bCs/>
          <w:sz w:val="22"/>
          <w:szCs w:val="22"/>
        </w:rPr>
        <w:t>d) of the appeals at (b), the number where the Tribunal ordered the EHCP to be maintained</w:t>
      </w:r>
      <w:r w:rsidR="00A31DDD" w:rsidRPr="00A31DDD">
        <w:rPr>
          <w:rFonts w:ascii="Calibri" w:hAnsi="Calibri" w:cs="Calibri"/>
          <w:b/>
          <w:bCs/>
          <w:sz w:val="22"/>
          <w:szCs w:val="22"/>
        </w:rPr>
        <w:t>:</w:t>
      </w:r>
      <w:r w:rsidR="00A31DDD" w:rsidRPr="00A31DDD">
        <w:rPr>
          <w:rFonts w:ascii="Calibri" w:hAnsi="Calibri" w:cs="Calibri"/>
          <w:sz w:val="22"/>
          <w:szCs w:val="22"/>
        </w:rPr>
        <w:t xml:space="preserve"> </w:t>
      </w:r>
      <w:r w:rsidR="00AC2E60" w:rsidRPr="00A31DDD">
        <w:rPr>
          <w:rFonts w:ascii="Calibri" w:hAnsi="Calibri" w:cs="Calibri"/>
          <w:sz w:val="22"/>
          <w:szCs w:val="22"/>
        </w:rPr>
        <w:t>None</w:t>
      </w:r>
    </w:p>
    <w:p w14:paraId="3341EDC4" w14:textId="77777777" w:rsidR="001157F2" w:rsidRPr="00A31DDD" w:rsidRDefault="001157F2" w:rsidP="001157F2">
      <w:pPr>
        <w:rPr>
          <w:rFonts w:ascii="Calibri" w:hAnsi="Calibri" w:cs="Calibri"/>
          <w:sz w:val="22"/>
          <w:szCs w:val="22"/>
        </w:rPr>
      </w:pPr>
    </w:p>
    <w:p w14:paraId="6955C394" w14:textId="77777777" w:rsidR="00AC2E60" w:rsidRPr="00A31DDD" w:rsidRDefault="001157F2" w:rsidP="001157F2">
      <w:pPr>
        <w:rPr>
          <w:rFonts w:ascii="Calibri" w:hAnsi="Calibri" w:cs="Calibri"/>
          <w:b/>
          <w:bCs/>
          <w:sz w:val="22"/>
          <w:szCs w:val="22"/>
        </w:rPr>
      </w:pPr>
      <w:r w:rsidRPr="00A31DDD">
        <w:rPr>
          <w:rFonts w:ascii="Calibri" w:hAnsi="Calibri" w:cs="Calibri"/>
          <w:b/>
          <w:bCs/>
          <w:sz w:val="22"/>
          <w:szCs w:val="22"/>
        </w:rPr>
        <w:t>5. Personal budgets</w:t>
      </w:r>
      <w:r w:rsidRPr="00A31DDD">
        <w:rPr>
          <w:rFonts w:ascii="Calibri" w:hAnsi="Calibri" w:cs="Calibri"/>
          <w:b/>
          <w:bCs/>
          <w:sz w:val="22"/>
          <w:szCs w:val="22"/>
        </w:rPr>
        <w:br/>
        <w:t>For each of 2023, 2024, and 2025:</w:t>
      </w:r>
      <w:r w:rsidRPr="00A31DDD">
        <w:rPr>
          <w:rFonts w:ascii="Calibri" w:hAnsi="Calibri" w:cs="Calibri"/>
          <w:b/>
          <w:bCs/>
          <w:sz w:val="22"/>
          <w:szCs w:val="22"/>
        </w:rPr>
        <w:br/>
        <w:t>a) the total number of requests received by your authority for a personal budget under section 49 of the Children and Families Act 2014;</w:t>
      </w:r>
      <w:r w:rsidRPr="00A31DDD">
        <w:rPr>
          <w:rFonts w:ascii="Calibri" w:hAnsi="Calibri" w:cs="Calibri"/>
          <w:b/>
          <w:bCs/>
          <w:sz w:val="22"/>
          <w:szCs w:val="22"/>
        </w:rPr>
        <w:br/>
        <w:t>b) the number of those requests that were agreed;</w:t>
      </w:r>
      <w:r w:rsidRPr="00A31DDD">
        <w:rPr>
          <w:rFonts w:ascii="Calibri" w:hAnsi="Calibri" w:cs="Calibri"/>
          <w:b/>
          <w:bCs/>
          <w:sz w:val="22"/>
          <w:szCs w:val="22"/>
        </w:rPr>
        <w:br/>
        <w:t>c) the number that were refused;</w:t>
      </w:r>
    </w:p>
    <w:p w14:paraId="2EBFC127" w14:textId="79401DD5" w:rsidR="007150D8" w:rsidRPr="00A31DDD" w:rsidRDefault="00551035" w:rsidP="007150D8">
      <w:pPr>
        <w:rPr>
          <w:rFonts w:ascii="Calibri" w:hAnsi="Calibri" w:cs="Calibri"/>
          <w:sz w:val="22"/>
          <w:szCs w:val="22"/>
        </w:rPr>
      </w:pPr>
      <w:r w:rsidRPr="00A31DDD">
        <w:rPr>
          <w:rFonts w:ascii="Calibri" w:hAnsi="Calibri" w:cs="Calibri"/>
          <w:sz w:val="22"/>
          <w:szCs w:val="22"/>
        </w:rPr>
        <w:t xml:space="preserve">We record families and young people in receipt of personal budgets through </w:t>
      </w:r>
      <w:proofErr w:type="gramStart"/>
      <w:r w:rsidRPr="00A31DDD">
        <w:rPr>
          <w:rFonts w:ascii="Calibri" w:hAnsi="Calibri" w:cs="Calibri"/>
          <w:sz w:val="22"/>
          <w:szCs w:val="22"/>
        </w:rPr>
        <w:t>EHCPs,</w:t>
      </w:r>
      <w:proofErr w:type="gramEnd"/>
      <w:r w:rsidRPr="00A31DDD">
        <w:rPr>
          <w:rFonts w:ascii="Calibri" w:hAnsi="Calibri" w:cs="Calibri"/>
          <w:sz w:val="22"/>
          <w:szCs w:val="22"/>
        </w:rPr>
        <w:t xml:space="preserve"> however i</w:t>
      </w:r>
      <w:r w:rsidR="007150D8" w:rsidRPr="00A31DDD">
        <w:rPr>
          <w:rFonts w:ascii="Calibri" w:hAnsi="Calibri" w:cs="Calibri"/>
          <w:sz w:val="22"/>
          <w:szCs w:val="22"/>
        </w:rPr>
        <w:t xml:space="preserve">t would require a manual trawl of all panel requests over the </w:t>
      </w:r>
      <w:proofErr w:type="gramStart"/>
      <w:r w:rsidR="007150D8" w:rsidRPr="00A31DDD">
        <w:rPr>
          <w:rFonts w:ascii="Calibri" w:hAnsi="Calibri" w:cs="Calibri"/>
          <w:sz w:val="22"/>
          <w:szCs w:val="22"/>
        </w:rPr>
        <w:t>time period</w:t>
      </w:r>
      <w:proofErr w:type="gramEnd"/>
      <w:r w:rsidRPr="00A31DDD">
        <w:rPr>
          <w:rFonts w:ascii="Calibri" w:hAnsi="Calibri" w:cs="Calibri"/>
          <w:sz w:val="22"/>
          <w:szCs w:val="22"/>
        </w:rPr>
        <w:t xml:space="preserve"> to identify requests.</w:t>
      </w:r>
      <w:r w:rsidR="007150D8" w:rsidRPr="00A31DDD">
        <w:rPr>
          <w:rFonts w:ascii="Calibri" w:hAnsi="Calibri" w:cs="Calibri"/>
          <w:sz w:val="22"/>
          <w:szCs w:val="22"/>
        </w:rPr>
        <w:t xml:space="preserve"> There is a panel every week, with an average of 20 requests per week. This would therefore involve manually opening more than 3000 panel records to identify the request and then a further search to find the outcome where a PB has been requested. </w:t>
      </w:r>
      <w:r w:rsidR="00A31DDD">
        <w:rPr>
          <w:rFonts w:ascii="Calibri" w:hAnsi="Calibri" w:cs="Calibri"/>
          <w:sz w:val="22"/>
          <w:szCs w:val="22"/>
        </w:rPr>
        <w:t>(Section 12)</w:t>
      </w:r>
    </w:p>
    <w:p w14:paraId="33940D61" w14:textId="2CE17CF4" w:rsidR="001157F2" w:rsidRPr="00A31DDD" w:rsidRDefault="001157F2" w:rsidP="001157F2">
      <w:pPr>
        <w:rPr>
          <w:rFonts w:ascii="Calibri" w:hAnsi="Calibri" w:cs="Calibri"/>
          <w:b/>
          <w:bCs/>
          <w:sz w:val="22"/>
          <w:szCs w:val="22"/>
        </w:rPr>
      </w:pPr>
      <w:r w:rsidRPr="00A31DDD">
        <w:rPr>
          <w:rFonts w:ascii="Calibri" w:hAnsi="Calibri" w:cs="Calibri"/>
          <w:b/>
          <w:bCs/>
          <w:sz w:val="22"/>
          <w:szCs w:val="22"/>
        </w:rPr>
        <w:t xml:space="preserve">d) the total value of personal budgets agreed in each year: </w:t>
      </w:r>
    </w:p>
    <w:tbl>
      <w:tblPr>
        <w:tblW w:w="4111" w:type="dxa"/>
        <w:tblLook w:val="04A0" w:firstRow="1" w:lastRow="0" w:firstColumn="1" w:lastColumn="0" w:noHBand="0" w:noVBand="1"/>
      </w:tblPr>
      <w:tblGrid>
        <w:gridCol w:w="960"/>
        <w:gridCol w:w="1480"/>
        <w:gridCol w:w="1671"/>
      </w:tblGrid>
      <w:tr w:rsidR="001157F2" w:rsidRPr="00A31DDD" w14:paraId="67EE0AF0" w14:textId="77777777" w:rsidTr="00AC2E60">
        <w:trPr>
          <w:trHeight w:val="290"/>
        </w:trPr>
        <w:tc>
          <w:tcPr>
            <w:tcW w:w="960" w:type="dxa"/>
            <w:tcBorders>
              <w:top w:val="nil"/>
              <w:left w:val="nil"/>
              <w:bottom w:val="nil"/>
              <w:right w:val="nil"/>
            </w:tcBorders>
            <w:noWrap/>
            <w:vAlign w:val="bottom"/>
            <w:hideMark/>
          </w:tcPr>
          <w:p w14:paraId="29C73312" w14:textId="77777777" w:rsidR="001157F2" w:rsidRPr="00A31DDD" w:rsidRDefault="001157F2" w:rsidP="001157F2">
            <w:pPr>
              <w:rPr>
                <w:rFonts w:ascii="Calibri" w:eastAsia="Times New Roman" w:hAnsi="Calibri" w:cs="Calibri"/>
                <w:sz w:val="22"/>
                <w:szCs w:val="22"/>
                <w:lang w:eastAsia="en-GB"/>
                <w14:ligatures w14:val="none"/>
              </w:rPr>
            </w:pPr>
          </w:p>
        </w:tc>
        <w:tc>
          <w:tcPr>
            <w:tcW w:w="1480" w:type="dxa"/>
            <w:tcBorders>
              <w:top w:val="nil"/>
              <w:left w:val="nil"/>
              <w:bottom w:val="nil"/>
              <w:right w:val="nil"/>
            </w:tcBorders>
            <w:noWrap/>
            <w:vAlign w:val="bottom"/>
            <w:hideMark/>
          </w:tcPr>
          <w:p w14:paraId="59FF0F55" w14:textId="77777777" w:rsidR="001157F2" w:rsidRPr="00A31DDD" w:rsidRDefault="001157F2" w:rsidP="001157F2">
            <w:pPr>
              <w:rPr>
                <w:rFonts w:ascii="Calibri" w:eastAsia="Times New Roman" w:hAnsi="Calibri" w:cs="Calibri"/>
                <w:sz w:val="22"/>
                <w:szCs w:val="22"/>
                <w:lang w:eastAsia="en-GB"/>
                <w14:ligatures w14:val="none"/>
              </w:rPr>
            </w:pPr>
          </w:p>
        </w:tc>
        <w:tc>
          <w:tcPr>
            <w:tcW w:w="1671" w:type="dxa"/>
            <w:tcBorders>
              <w:top w:val="nil"/>
              <w:left w:val="nil"/>
              <w:bottom w:val="nil"/>
              <w:right w:val="nil"/>
            </w:tcBorders>
            <w:noWrap/>
            <w:vAlign w:val="bottom"/>
            <w:hideMark/>
          </w:tcPr>
          <w:p w14:paraId="28FC08E5" w14:textId="77777777" w:rsidR="001157F2" w:rsidRPr="00A31DDD" w:rsidRDefault="001157F2" w:rsidP="001157F2">
            <w:pPr>
              <w:rPr>
                <w:rFonts w:ascii="Calibri" w:eastAsia="Times New Roman" w:hAnsi="Calibri" w:cs="Calibri"/>
                <w:sz w:val="22"/>
                <w:szCs w:val="22"/>
                <w:lang w:eastAsia="en-GB"/>
                <w14:ligatures w14:val="none"/>
              </w:rPr>
            </w:pPr>
          </w:p>
        </w:tc>
      </w:tr>
      <w:tr w:rsidR="001157F2" w:rsidRPr="00A31DDD" w14:paraId="1C7F3461" w14:textId="77777777" w:rsidTr="00AC2E60">
        <w:trPr>
          <w:trHeight w:val="290"/>
        </w:trPr>
        <w:tc>
          <w:tcPr>
            <w:tcW w:w="960" w:type="dxa"/>
            <w:tcBorders>
              <w:top w:val="nil"/>
              <w:left w:val="nil"/>
              <w:bottom w:val="nil"/>
              <w:right w:val="nil"/>
            </w:tcBorders>
            <w:noWrap/>
            <w:vAlign w:val="bottom"/>
            <w:hideMark/>
          </w:tcPr>
          <w:p w14:paraId="3226798C" w14:textId="1DAC974D" w:rsidR="001157F2" w:rsidRPr="00A31DDD" w:rsidRDefault="001157F2" w:rsidP="001157F2">
            <w:pPr>
              <w:rPr>
                <w:rFonts w:ascii="Calibri" w:eastAsia="Times New Roman" w:hAnsi="Calibri" w:cs="Calibri"/>
                <w:sz w:val="22"/>
                <w:szCs w:val="22"/>
                <w:lang w:eastAsia="en-GB"/>
                <w14:ligatures w14:val="none"/>
              </w:rPr>
            </w:pPr>
          </w:p>
        </w:tc>
        <w:tc>
          <w:tcPr>
            <w:tcW w:w="1480" w:type="dxa"/>
            <w:tcBorders>
              <w:top w:val="single" w:sz="4" w:space="0" w:color="auto"/>
              <w:left w:val="single" w:sz="4" w:space="0" w:color="auto"/>
              <w:bottom w:val="single" w:sz="4" w:space="0" w:color="auto"/>
              <w:right w:val="single" w:sz="4" w:space="0" w:color="auto"/>
            </w:tcBorders>
            <w:noWrap/>
            <w:vAlign w:val="bottom"/>
            <w:hideMark/>
          </w:tcPr>
          <w:p w14:paraId="0911B9F8"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Financial year</w:t>
            </w:r>
          </w:p>
        </w:tc>
        <w:tc>
          <w:tcPr>
            <w:tcW w:w="1671" w:type="dxa"/>
            <w:tcBorders>
              <w:top w:val="single" w:sz="4" w:space="0" w:color="auto"/>
              <w:left w:val="nil"/>
              <w:bottom w:val="single" w:sz="4" w:space="0" w:color="auto"/>
              <w:right w:val="single" w:sz="4" w:space="0" w:color="auto"/>
            </w:tcBorders>
            <w:noWrap/>
            <w:vAlign w:val="bottom"/>
            <w:hideMark/>
          </w:tcPr>
          <w:p w14:paraId="081804DD" w14:textId="77777777" w:rsidR="001157F2" w:rsidRPr="00A31DDD" w:rsidRDefault="001157F2" w:rsidP="001157F2">
            <w:pPr>
              <w:rPr>
                <w:rFonts w:ascii="Calibri" w:eastAsia="Times New Roman" w:hAnsi="Calibri" w:cs="Calibri"/>
                <w:b/>
                <w:bCs/>
                <w:sz w:val="22"/>
                <w:szCs w:val="22"/>
                <w:lang w:eastAsia="en-GB"/>
                <w14:ligatures w14:val="none"/>
              </w:rPr>
            </w:pPr>
            <w:r w:rsidRPr="00A31DDD">
              <w:rPr>
                <w:rFonts w:ascii="Calibri" w:eastAsia="Times New Roman" w:hAnsi="Calibri" w:cs="Calibri"/>
                <w:b/>
                <w:bCs/>
                <w:sz w:val="22"/>
                <w:szCs w:val="22"/>
                <w:lang w:eastAsia="en-GB"/>
                <w14:ligatures w14:val="none"/>
              </w:rPr>
              <w:t>Total value</w:t>
            </w:r>
          </w:p>
        </w:tc>
      </w:tr>
      <w:tr w:rsidR="001157F2" w:rsidRPr="00A31DDD" w14:paraId="796A8A49" w14:textId="77777777" w:rsidTr="00AC2E60">
        <w:trPr>
          <w:trHeight w:val="290"/>
        </w:trPr>
        <w:tc>
          <w:tcPr>
            <w:tcW w:w="960" w:type="dxa"/>
            <w:tcBorders>
              <w:top w:val="nil"/>
              <w:left w:val="nil"/>
              <w:bottom w:val="nil"/>
              <w:right w:val="nil"/>
            </w:tcBorders>
            <w:noWrap/>
            <w:vAlign w:val="bottom"/>
            <w:hideMark/>
          </w:tcPr>
          <w:p w14:paraId="57093984" w14:textId="77777777" w:rsidR="001157F2" w:rsidRPr="00A31DDD" w:rsidRDefault="001157F2" w:rsidP="001157F2">
            <w:pPr>
              <w:rPr>
                <w:rFonts w:ascii="Calibri" w:eastAsia="Times New Roman" w:hAnsi="Calibri" w:cs="Calibri"/>
                <w:b/>
                <w:bCs/>
                <w:sz w:val="22"/>
                <w:szCs w:val="22"/>
                <w:lang w:eastAsia="en-GB"/>
                <w14:ligatures w14:val="none"/>
              </w:rPr>
            </w:pPr>
          </w:p>
        </w:tc>
        <w:tc>
          <w:tcPr>
            <w:tcW w:w="1480" w:type="dxa"/>
            <w:tcBorders>
              <w:top w:val="nil"/>
              <w:left w:val="single" w:sz="4" w:space="0" w:color="auto"/>
              <w:bottom w:val="single" w:sz="4" w:space="0" w:color="auto"/>
              <w:right w:val="single" w:sz="4" w:space="0" w:color="auto"/>
            </w:tcBorders>
            <w:noWrap/>
            <w:vAlign w:val="bottom"/>
            <w:hideMark/>
          </w:tcPr>
          <w:p w14:paraId="17F05359"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2024/25 </w:t>
            </w:r>
          </w:p>
        </w:tc>
        <w:tc>
          <w:tcPr>
            <w:tcW w:w="1671" w:type="dxa"/>
            <w:tcBorders>
              <w:top w:val="nil"/>
              <w:left w:val="nil"/>
              <w:bottom w:val="single" w:sz="4" w:space="0" w:color="auto"/>
              <w:right w:val="single" w:sz="4" w:space="0" w:color="auto"/>
            </w:tcBorders>
            <w:noWrap/>
            <w:vAlign w:val="bottom"/>
            <w:hideMark/>
          </w:tcPr>
          <w:p w14:paraId="79BA415D"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        216,379 </w:t>
            </w:r>
          </w:p>
        </w:tc>
      </w:tr>
      <w:tr w:rsidR="001157F2" w:rsidRPr="00A31DDD" w14:paraId="781FA534" w14:textId="77777777" w:rsidTr="00AC2E60">
        <w:trPr>
          <w:trHeight w:val="290"/>
        </w:trPr>
        <w:tc>
          <w:tcPr>
            <w:tcW w:w="960" w:type="dxa"/>
            <w:tcBorders>
              <w:top w:val="nil"/>
              <w:left w:val="nil"/>
              <w:bottom w:val="nil"/>
              <w:right w:val="nil"/>
            </w:tcBorders>
            <w:noWrap/>
            <w:vAlign w:val="bottom"/>
            <w:hideMark/>
          </w:tcPr>
          <w:p w14:paraId="07481C51" w14:textId="77777777" w:rsidR="001157F2" w:rsidRPr="00A31DDD" w:rsidRDefault="001157F2" w:rsidP="001157F2">
            <w:pPr>
              <w:rPr>
                <w:rFonts w:ascii="Calibri" w:eastAsia="Times New Roman" w:hAnsi="Calibri" w:cs="Calibri"/>
                <w:sz w:val="22"/>
                <w:szCs w:val="22"/>
                <w:lang w:eastAsia="en-GB"/>
                <w14:ligatures w14:val="none"/>
              </w:rPr>
            </w:pPr>
          </w:p>
        </w:tc>
        <w:tc>
          <w:tcPr>
            <w:tcW w:w="1480" w:type="dxa"/>
            <w:tcBorders>
              <w:top w:val="nil"/>
              <w:left w:val="single" w:sz="4" w:space="0" w:color="auto"/>
              <w:bottom w:val="single" w:sz="4" w:space="0" w:color="auto"/>
              <w:right w:val="single" w:sz="4" w:space="0" w:color="auto"/>
            </w:tcBorders>
            <w:noWrap/>
            <w:vAlign w:val="bottom"/>
            <w:hideMark/>
          </w:tcPr>
          <w:p w14:paraId="74730466"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2025/26</w:t>
            </w:r>
          </w:p>
        </w:tc>
        <w:tc>
          <w:tcPr>
            <w:tcW w:w="1671" w:type="dxa"/>
            <w:tcBorders>
              <w:top w:val="nil"/>
              <w:left w:val="nil"/>
              <w:bottom w:val="single" w:sz="4" w:space="0" w:color="auto"/>
              <w:right w:val="single" w:sz="4" w:space="0" w:color="auto"/>
            </w:tcBorders>
            <w:noWrap/>
            <w:vAlign w:val="bottom"/>
            <w:hideMark/>
          </w:tcPr>
          <w:p w14:paraId="7B7CA700" w14:textId="77777777" w:rsidR="001157F2" w:rsidRPr="00A31DDD" w:rsidRDefault="001157F2" w:rsidP="001157F2">
            <w:pPr>
              <w:rPr>
                <w:rFonts w:ascii="Calibri" w:eastAsia="Times New Roman" w:hAnsi="Calibri" w:cs="Calibri"/>
                <w:sz w:val="22"/>
                <w:szCs w:val="22"/>
                <w:lang w:eastAsia="en-GB"/>
                <w14:ligatures w14:val="none"/>
              </w:rPr>
            </w:pPr>
            <w:r w:rsidRPr="00A31DDD">
              <w:rPr>
                <w:rFonts w:ascii="Calibri" w:eastAsia="Times New Roman" w:hAnsi="Calibri" w:cs="Calibri"/>
                <w:sz w:val="22"/>
                <w:szCs w:val="22"/>
                <w:lang w:eastAsia="en-GB"/>
                <w14:ligatures w14:val="none"/>
              </w:rPr>
              <w:t xml:space="preserve"> £        288,657 </w:t>
            </w:r>
          </w:p>
        </w:tc>
      </w:tr>
    </w:tbl>
    <w:p w14:paraId="126BD650" w14:textId="77777777" w:rsidR="001157F2" w:rsidRPr="00A31DDD" w:rsidRDefault="001157F2" w:rsidP="001157F2">
      <w:pPr>
        <w:rPr>
          <w:rFonts w:ascii="Calibri" w:hAnsi="Calibri" w:cs="Calibri"/>
          <w:sz w:val="22"/>
          <w:szCs w:val="22"/>
        </w:rPr>
      </w:pPr>
    </w:p>
    <w:p w14:paraId="41CC4E8D" w14:textId="6F1FC45D" w:rsidR="001157F2" w:rsidRPr="00A31DDD" w:rsidRDefault="001157F2" w:rsidP="001157F2">
      <w:pPr>
        <w:rPr>
          <w:rFonts w:ascii="Calibri" w:hAnsi="Calibri" w:cs="Calibri"/>
          <w:sz w:val="22"/>
          <w:szCs w:val="22"/>
        </w:rPr>
      </w:pPr>
    </w:p>
    <w:p w14:paraId="7AF68CCF" w14:textId="618368B1" w:rsidR="001157F2" w:rsidRPr="00A31DDD" w:rsidRDefault="001157F2" w:rsidP="001157F2">
      <w:pPr>
        <w:rPr>
          <w:rFonts w:ascii="Calibri" w:hAnsi="Calibri" w:cs="Calibri"/>
          <w:b/>
          <w:bCs/>
          <w:sz w:val="22"/>
          <w:szCs w:val="22"/>
        </w:rPr>
      </w:pPr>
      <w:r w:rsidRPr="00A31DDD">
        <w:rPr>
          <w:rFonts w:ascii="Calibri" w:hAnsi="Calibri" w:cs="Calibri"/>
          <w:b/>
          <w:bCs/>
          <w:sz w:val="22"/>
          <w:szCs w:val="22"/>
        </w:rPr>
        <w:t>6.  Named school and parental preference outcomes For each of 2024 and 2025:</w:t>
      </w:r>
      <w:r w:rsidRPr="00A31DDD">
        <w:rPr>
          <w:rFonts w:ascii="Calibri" w:hAnsi="Calibri" w:cs="Calibri"/>
          <w:b/>
          <w:bCs/>
          <w:sz w:val="22"/>
          <w:szCs w:val="22"/>
        </w:rPr>
        <w:br/>
        <w:t>a) the total number of cases in which a parent or young person expressed a preference for a particular school or institution to be named in section I of an EHCP under section 38(2) of the Children and Families Act 2014;</w:t>
      </w:r>
      <w:r w:rsidRPr="00A31DDD">
        <w:rPr>
          <w:rFonts w:ascii="Calibri" w:hAnsi="Calibri" w:cs="Calibri"/>
          <w:b/>
          <w:bCs/>
          <w:sz w:val="22"/>
          <w:szCs w:val="22"/>
        </w:rPr>
        <w:br/>
        <w:t>b) the number of those cases where the parental preference was agreed and the preferred school was named;</w:t>
      </w:r>
      <w:r w:rsidRPr="00A31DDD">
        <w:rPr>
          <w:rFonts w:ascii="Calibri" w:hAnsi="Calibri" w:cs="Calibri"/>
          <w:b/>
          <w:bCs/>
          <w:sz w:val="22"/>
          <w:szCs w:val="22"/>
        </w:rPr>
        <w:br/>
        <w:t>c) the number of those cases where the parental preference was refused.</w:t>
      </w:r>
    </w:p>
    <w:p w14:paraId="0BBB8CC5" w14:textId="481381EA" w:rsidR="001157F2" w:rsidRPr="00A31DDD" w:rsidRDefault="001157F2" w:rsidP="001157F2">
      <w:pPr>
        <w:rPr>
          <w:rFonts w:ascii="Calibri" w:hAnsi="Calibri" w:cs="Calibri"/>
          <w:sz w:val="22"/>
          <w:szCs w:val="22"/>
        </w:rPr>
      </w:pPr>
      <w:r w:rsidRPr="00A31DDD">
        <w:rPr>
          <w:rFonts w:ascii="Calibri" w:hAnsi="Calibri" w:cs="Calibri"/>
          <w:sz w:val="22"/>
          <w:szCs w:val="22"/>
        </w:rPr>
        <w:t xml:space="preserve">This would mean looking at each </w:t>
      </w:r>
      <w:r w:rsidR="00F76421" w:rsidRPr="00A31DDD">
        <w:rPr>
          <w:rFonts w:ascii="Calibri" w:hAnsi="Calibri" w:cs="Calibri"/>
          <w:sz w:val="22"/>
          <w:szCs w:val="22"/>
        </w:rPr>
        <w:t>child’s</w:t>
      </w:r>
      <w:r w:rsidRPr="00A31DDD">
        <w:rPr>
          <w:rFonts w:ascii="Calibri" w:hAnsi="Calibri" w:cs="Calibri"/>
          <w:sz w:val="22"/>
          <w:szCs w:val="22"/>
        </w:rPr>
        <w:t xml:space="preserve"> record to explore whether a preference was expressed and whether that was then named in the EHCP, I would estimate 20 mins per record for each of the 2490 EHCPs and therefore </w:t>
      </w:r>
      <w:proofErr w:type="gramStart"/>
      <w:r w:rsidRPr="00A31DDD">
        <w:rPr>
          <w:rFonts w:ascii="Calibri" w:hAnsi="Calibri" w:cs="Calibri"/>
          <w:sz w:val="22"/>
          <w:szCs w:val="22"/>
        </w:rPr>
        <w:t>in excess of</w:t>
      </w:r>
      <w:proofErr w:type="gramEnd"/>
      <w:r w:rsidRPr="00A31DDD">
        <w:rPr>
          <w:rFonts w:ascii="Calibri" w:hAnsi="Calibri" w:cs="Calibri"/>
          <w:sz w:val="22"/>
          <w:szCs w:val="22"/>
        </w:rPr>
        <w:t xml:space="preserve"> the timescale</w:t>
      </w:r>
      <w:r w:rsidR="00551035" w:rsidRPr="00A31DDD">
        <w:rPr>
          <w:rFonts w:ascii="Calibri" w:hAnsi="Calibri" w:cs="Calibri"/>
          <w:sz w:val="22"/>
          <w:szCs w:val="22"/>
        </w:rPr>
        <w:t>.</w:t>
      </w:r>
      <w:r w:rsidR="00A31DDD">
        <w:rPr>
          <w:rFonts w:ascii="Calibri" w:hAnsi="Calibri" w:cs="Calibri"/>
          <w:sz w:val="22"/>
          <w:szCs w:val="22"/>
        </w:rPr>
        <w:t xml:space="preserve"> (Section 12)</w:t>
      </w:r>
    </w:p>
    <w:p w14:paraId="01250421" w14:textId="77777777" w:rsidR="001157F2" w:rsidRPr="00A31DDD" w:rsidRDefault="001157F2" w:rsidP="001157F2">
      <w:pPr>
        <w:rPr>
          <w:rFonts w:ascii="Calibri" w:hAnsi="Calibri" w:cs="Calibri"/>
          <w:sz w:val="22"/>
          <w:szCs w:val="22"/>
        </w:rPr>
      </w:pPr>
    </w:p>
    <w:p w14:paraId="2AF48EA9" w14:textId="77777777" w:rsidR="005C32E2" w:rsidRPr="00A31DDD" w:rsidRDefault="001157F2" w:rsidP="001157F2">
      <w:pPr>
        <w:rPr>
          <w:rFonts w:ascii="Calibri" w:hAnsi="Calibri" w:cs="Calibri"/>
          <w:b/>
          <w:bCs/>
          <w:sz w:val="22"/>
          <w:szCs w:val="22"/>
        </w:rPr>
      </w:pPr>
      <w:r w:rsidRPr="00A31DDD">
        <w:rPr>
          <w:rFonts w:ascii="Calibri" w:hAnsi="Calibri" w:cs="Calibri"/>
          <w:b/>
          <w:bCs/>
          <w:sz w:val="22"/>
          <w:szCs w:val="22"/>
        </w:rPr>
        <w:t xml:space="preserve">7. Annual review completion rates </w:t>
      </w:r>
      <w:proofErr w:type="gramStart"/>
      <w:r w:rsidRPr="00A31DDD">
        <w:rPr>
          <w:rFonts w:ascii="Calibri" w:hAnsi="Calibri" w:cs="Calibri"/>
          <w:b/>
          <w:bCs/>
          <w:sz w:val="22"/>
          <w:szCs w:val="22"/>
        </w:rPr>
        <w:t>For</w:t>
      </w:r>
      <w:proofErr w:type="gramEnd"/>
      <w:r w:rsidRPr="00A31DDD">
        <w:rPr>
          <w:rFonts w:ascii="Calibri" w:hAnsi="Calibri" w:cs="Calibri"/>
          <w:b/>
          <w:bCs/>
          <w:sz w:val="22"/>
          <w:szCs w:val="22"/>
        </w:rPr>
        <w:t xml:space="preserve"> each of 2024 and 2025:</w:t>
      </w:r>
    </w:p>
    <w:p w14:paraId="36784574" w14:textId="09543628" w:rsidR="001157F2" w:rsidRPr="00A31DDD" w:rsidRDefault="001157F2" w:rsidP="001157F2">
      <w:pPr>
        <w:rPr>
          <w:rFonts w:ascii="Calibri" w:hAnsi="Calibri" w:cs="Calibri"/>
          <w:b/>
          <w:bCs/>
          <w:sz w:val="22"/>
          <w:szCs w:val="22"/>
        </w:rPr>
      </w:pPr>
      <w:r w:rsidRPr="00A31DDD">
        <w:rPr>
          <w:rFonts w:ascii="Calibri" w:hAnsi="Calibri" w:cs="Calibri"/>
          <w:b/>
          <w:bCs/>
          <w:sz w:val="22"/>
          <w:szCs w:val="22"/>
        </w:rPr>
        <w:t>a) the total number of EHCPs due for annual review within the calendar year;</w:t>
      </w:r>
      <w:r w:rsidRPr="00A31DDD">
        <w:rPr>
          <w:rFonts w:ascii="Calibri" w:hAnsi="Calibri" w:cs="Calibri"/>
          <w:b/>
          <w:bCs/>
          <w:sz w:val="22"/>
          <w:szCs w:val="22"/>
        </w:rPr>
        <w:br/>
        <w:t>b) the number of those reviews completed within 12 months of the previous review, in accordance with section 44(1) of the Children and Families Act 2014;</w:t>
      </w:r>
      <w:r w:rsidRPr="00A31DDD">
        <w:rPr>
          <w:rFonts w:ascii="Calibri" w:hAnsi="Calibri" w:cs="Calibri"/>
          <w:b/>
          <w:bCs/>
          <w:sz w:val="22"/>
          <w:szCs w:val="22"/>
        </w:rPr>
        <w:br/>
        <w:t>c) the number of annual reviews that resulted in an amendment to the EHCP.</w:t>
      </w:r>
    </w:p>
    <w:p w14:paraId="2F364170" w14:textId="7CE09292" w:rsidR="00AC2E60" w:rsidRPr="00A31DDD" w:rsidRDefault="00AC2E60" w:rsidP="00AC2E60">
      <w:pPr>
        <w:rPr>
          <w:rFonts w:ascii="Calibri" w:hAnsi="Calibri" w:cs="Calibri"/>
          <w:sz w:val="22"/>
          <w:szCs w:val="22"/>
        </w:rPr>
      </w:pPr>
      <w:r w:rsidRPr="00A31DDD">
        <w:rPr>
          <w:rFonts w:ascii="Calibri" w:hAnsi="Calibri" w:cs="Calibri"/>
          <w:sz w:val="22"/>
          <w:szCs w:val="22"/>
        </w:rPr>
        <w:t>Current Annual review data captures live data, not historical.</w:t>
      </w:r>
    </w:p>
    <w:p w14:paraId="4F7920A8" w14:textId="77777777" w:rsidR="00AC2E60" w:rsidRPr="00A31DDD" w:rsidRDefault="00AC2E60" w:rsidP="00AC2E60">
      <w:pPr>
        <w:rPr>
          <w:rFonts w:ascii="Calibri" w:hAnsi="Calibri" w:cs="Calibri"/>
          <w:sz w:val="22"/>
          <w:szCs w:val="22"/>
        </w:rPr>
      </w:pPr>
      <w:r w:rsidRPr="00A31DDD">
        <w:rPr>
          <w:rFonts w:ascii="Calibri" w:hAnsi="Calibri" w:cs="Calibri"/>
          <w:sz w:val="22"/>
          <w:szCs w:val="22"/>
        </w:rPr>
        <w:t>Report was run on 30</w:t>
      </w:r>
      <w:r w:rsidRPr="00A31DDD">
        <w:rPr>
          <w:rFonts w:ascii="Calibri" w:hAnsi="Calibri" w:cs="Calibri"/>
          <w:sz w:val="22"/>
          <w:szCs w:val="22"/>
          <w:vertAlign w:val="superscript"/>
        </w:rPr>
        <w:t>th</w:t>
      </w:r>
      <w:r w:rsidRPr="00A31DDD">
        <w:rPr>
          <w:rFonts w:ascii="Calibri" w:hAnsi="Calibri" w:cs="Calibri"/>
          <w:sz w:val="22"/>
          <w:szCs w:val="22"/>
        </w:rPr>
        <w:t xml:space="preserve"> April 2026: </w:t>
      </w:r>
    </w:p>
    <w:p w14:paraId="74E6A4FF" w14:textId="77777777" w:rsidR="00AC2E60" w:rsidRPr="00A31DDD" w:rsidRDefault="00AC2E60" w:rsidP="00AC2E60">
      <w:pPr>
        <w:numPr>
          <w:ilvl w:val="0"/>
          <w:numId w:val="2"/>
        </w:numPr>
        <w:rPr>
          <w:rFonts w:ascii="Calibri" w:hAnsi="Calibri" w:cs="Calibri"/>
          <w:sz w:val="22"/>
          <w:szCs w:val="22"/>
        </w:rPr>
      </w:pPr>
      <w:r w:rsidRPr="00A31DDD">
        <w:rPr>
          <w:rFonts w:ascii="Calibri" w:hAnsi="Calibri" w:cs="Calibri"/>
          <w:sz w:val="22"/>
          <w:szCs w:val="22"/>
        </w:rPr>
        <w:t>2152 plans require annual reviews</w:t>
      </w:r>
    </w:p>
    <w:p w14:paraId="4F54ADEB" w14:textId="77777777" w:rsidR="00AC2E60" w:rsidRPr="00A31DDD" w:rsidRDefault="00AC2E60" w:rsidP="00AC2E60">
      <w:pPr>
        <w:numPr>
          <w:ilvl w:val="0"/>
          <w:numId w:val="2"/>
        </w:numPr>
        <w:rPr>
          <w:rFonts w:ascii="Calibri" w:hAnsi="Calibri" w:cs="Calibri"/>
          <w:sz w:val="22"/>
          <w:szCs w:val="22"/>
        </w:rPr>
      </w:pPr>
      <w:r w:rsidRPr="00A31DDD">
        <w:rPr>
          <w:rFonts w:ascii="Calibri" w:hAnsi="Calibri" w:cs="Calibri"/>
          <w:sz w:val="22"/>
          <w:szCs w:val="22"/>
        </w:rPr>
        <w:t>1024 plans have been reviewed within last 12 months</w:t>
      </w:r>
    </w:p>
    <w:p w14:paraId="7ED5FEB1" w14:textId="2F6BCAEC" w:rsidR="00A31DDD" w:rsidRPr="00A31DDD" w:rsidRDefault="00AC2E60" w:rsidP="00A31DDD">
      <w:pPr>
        <w:numPr>
          <w:ilvl w:val="0"/>
          <w:numId w:val="2"/>
        </w:numPr>
        <w:rPr>
          <w:rFonts w:ascii="Calibri" w:hAnsi="Calibri" w:cs="Calibri"/>
          <w:i/>
          <w:iCs/>
          <w:sz w:val="22"/>
          <w:szCs w:val="22"/>
        </w:rPr>
      </w:pPr>
      <w:r w:rsidRPr="00A31DDD">
        <w:rPr>
          <w:rFonts w:ascii="Calibri" w:hAnsi="Calibri" w:cs="Calibri"/>
          <w:sz w:val="22"/>
          <w:szCs w:val="22"/>
        </w:rPr>
        <w:t>657 reviews resulted in an amendment to EHCP.</w:t>
      </w:r>
    </w:p>
    <w:sectPr w:rsidR="00A31DDD" w:rsidRPr="00A31D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5A32" w14:textId="77777777" w:rsidR="0085209C" w:rsidRDefault="0085209C"/>
  </w:endnote>
  <w:endnote w:type="continuationSeparator" w:id="0">
    <w:p w14:paraId="42246757" w14:textId="77777777" w:rsidR="0085209C" w:rsidRDefault="00852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9F4F" w14:textId="77777777" w:rsidR="0085209C" w:rsidRDefault="0085209C"/>
  </w:footnote>
  <w:footnote w:type="continuationSeparator" w:id="0">
    <w:p w14:paraId="604AE765" w14:textId="77777777" w:rsidR="0085209C" w:rsidRDefault="008520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C0951"/>
    <w:multiLevelType w:val="hybridMultilevel"/>
    <w:tmpl w:val="19C2A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3C17744"/>
    <w:multiLevelType w:val="hybridMultilevel"/>
    <w:tmpl w:val="53A8EC5C"/>
    <w:lvl w:ilvl="0" w:tplc="E47649FA">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34888939">
    <w:abstractNumId w:val="1"/>
  </w:num>
  <w:num w:numId="2" w16cid:durableId="91543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F2"/>
    <w:rsid w:val="000653EF"/>
    <w:rsid w:val="000745A4"/>
    <w:rsid w:val="001157F2"/>
    <w:rsid w:val="004056D4"/>
    <w:rsid w:val="004C4010"/>
    <w:rsid w:val="004E7A67"/>
    <w:rsid w:val="00551035"/>
    <w:rsid w:val="005C32E2"/>
    <w:rsid w:val="007150D8"/>
    <w:rsid w:val="0085209C"/>
    <w:rsid w:val="00874F4B"/>
    <w:rsid w:val="008D382A"/>
    <w:rsid w:val="009330DE"/>
    <w:rsid w:val="009F4B6B"/>
    <w:rsid w:val="00A046E2"/>
    <w:rsid w:val="00A31DDD"/>
    <w:rsid w:val="00A93263"/>
    <w:rsid w:val="00AC2E60"/>
    <w:rsid w:val="00B14702"/>
    <w:rsid w:val="00B75B9B"/>
    <w:rsid w:val="00C201C2"/>
    <w:rsid w:val="00C51315"/>
    <w:rsid w:val="00D17294"/>
    <w:rsid w:val="00D94B79"/>
    <w:rsid w:val="00F33601"/>
    <w:rsid w:val="00F76421"/>
    <w:rsid w:val="00FB5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FA39"/>
  <w15:chartTrackingRefBased/>
  <w15:docId w15:val="{7F38481A-C05C-4A94-A8B0-E8356B67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7F2"/>
    <w:pPr>
      <w:spacing w:after="0" w:line="240" w:lineRule="auto"/>
    </w:pPr>
    <w:rPr>
      <w:rFonts w:ascii="Aptos" w:hAnsi="Aptos" w:cs="Aptos"/>
      <w:kern w:val="0"/>
    </w:rPr>
  </w:style>
  <w:style w:type="paragraph" w:styleId="Heading1">
    <w:name w:val="heading 1"/>
    <w:basedOn w:val="Normal"/>
    <w:next w:val="Normal"/>
    <w:link w:val="Heading1Char"/>
    <w:uiPriority w:val="9"/>
    <w:qFormat/>
    <w:rsid w:val="001157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1157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1157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1157F2"/>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1157F2"/>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1157F2"/>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1157F2"/>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1157F2"/>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1157F2"/>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7F2"/>
    <w:rPr>
      <w:rFonts w:eastAsiaTheme="majorEastAsia" w:cstheme="majorBidi"/>
      <w:color w:val="272727" w:themeColor="text1" w:themeTint="D8"/>
    </w:rPr>
  </w:style>
  <w:style w:type="paragraph" w:styleId="Title">
    <w:name w:val="Title"/>
    <w:basedOn w:val="Normal"/>
    <w:next w:val="Normal"/>
    <w:link w:val="TitleChar"/>
    <w:uiPriority w:val="10"/>
    <w:qFormat/>
    <w:rsid w:val="00115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7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115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7F2"/>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1157F2"/>
    <w:rPr>
      <w:i/>
      <w:iCs/>
      <w:color w:val="404040" w:themeColor="text1" w:themeTint="BF"/>
    </w:rPr>
  </w:style>
  <w:style w:type="paragraph" w:styleId="ListParagraph">
    <w:name w:val="List Paragraph"/>
    <w:basedOn w:val="Normal"/>
    <w:uiPriority w:val="34"/>
    <w:qFormat/>
    <w:rsid w:val="001157F2"/>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1157F2"/>
    <w:rPr>
      <w:i/>
      <w:iCs/>
      <w:color w:val="0F4761" w:themeColor="accent1" w:themeShade="BF"/>
    </w:rPr>
  </w:style>
  <w:style w:type="paragraph" w:styleId="IntenseQuote">
    <w:name w:val="Intense Quote"/>
    <w:basedOn w:val="Normal"/>
    <w:next w:val="Normal"/>
    <w:link w:val="IntenseQuoteChar"/>
    <w:uiPriority w:val="30"/>
    <w:qFormat/>
    <w:rsid w:val="001157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1157F2"/>
    <w:rPr>
      <w:i/>
      <w:iCs/>
      <w:color w:val="0F4761" w:themeColor="accent1" w:themeShade="BF"/>
    </w:rPr>
  </w:style>
  <w:style w:type="character" w:styleId="IntenseReference">
    <w:name w:val="Intense Reference"/>
    <w:basedOn w:val="DefaultParagraphFont"/>
    <w:uiPriority w:val="32"/>
    <w:qFormat/>
    <w:rsid w:val="001157F2"/>
    <w:rPr>
      <w:b/>
      <w:bCs/>
      <w:smallCaps/>
      <w:color w:val="0F4761" w:themeColor="accent1" w:themeShade="BF"/>
      <w:spacing w:val="5"/>
    </w:rPr>
  </w:style>
  <w:style w:type="paragraph" w:styleId="Footer">
    <w:name w:val="footer"/>
    <w:basedOn w:val="Normal"/>
    <w:link w:val="FooterChar"/>
    <w:uiPriority w:val="99"/>
    <w:unhideWhenUsed/>
    <w:rsid w:val="001157F2"/>
    <w:pPr>
      <w:tabs>
        <w:tab w:val="center" w:pos="4513"/>
        <w:tab w:val="right" w:pos="9026"/>
      </w:tabs>
    </w:pPr>
  </w:style>
  <w:style w:type="character" w:customStyle="1" w:styleId="FooterChar">
    <w:name w:val="Footer Char"/>
    <w:basedOn w:val="DefaultParagraphFont"/>
    <w:link w:val="Footer"/>
    <w:uiPriority w:val="99"/>
    <w:rsid w:val="001157F2"/>
    <w:rPr>
      <w:rFonts w:ascii="Aptos" w:hAnsi="Aptos" w:cs="Aptos"/>
      <w:kern w:val="0"/>
    </w:rPr>
  </w:style>
  <w:style w:type="character" w:styleId="Hyperlink">
    <w:name w:val="Hyperlink"/>
    <w:basedOn w:val="DefaultParagraphFont"/>
    <w:uiPriority w:val="99"/>
    <w:unhideWhenUsed/>
    <w:rsid w:val="000745A4"/>
    <w:rPr>
      <w:color w:val="467886" w:themeColor="hyperlink"/>
      <w:u w:val="single"/>
    </w:rPr>
  </w:style>
  <w:style w:type="character" w:styleId="UnresolvedMention">
    <w:name w:val="Unresolved Mention"/>
    <w:basedOn w:val="DefaultParagraphFont"/>
    <w:uiPriority w:val="99"/>
    <w:semiHidden/>
    <w:unhideWhenUsed/>
    <w:rsid w:val="000745A4"/>
    <w:rPr>
      <w:color w:val="605E5C"/>
      <w:shd w:val="clear" w:color="auto" w:fill="E1DFDD"/>
    </w:rPr>
  </w:style>
  <w:style w:type="character" w:styleId="FollowedHyperlink">
    <w:name w:val="FollowedHyperlink"/>
    <w:basedOn w:val="DefaultParagraphFont"/>
    <w:uiPriority w:val="99"/>
    <w:semiHidden/>
    <w:unhideWhenUsed/>
    <w:rsid w:val="000745A4"/>
    <w:rPr>
      <w:color w:val="96607D" w:themeColor="followedHyperlink"/>
      <w:u w:val="single"/>
    </w:rPr>
  </w:style>
  <w:style w:type="paragraph" w:styleId="NoSpacing">
    <w:name w:val="No Spacing"/>
    <w:uiPriority w:val="1"/>
    <w:qFormat/>
    <w:rsid w:val="00A31DDD"/>
    <w:pPr>
      <w:spacing w:after="0" w:line="240" w:lineRule="auto"/>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8.png@01DCE2F5.4A78D51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3.safelinks.protection.outlook.com/?url=https%3A%2F%2Fwww.gov.uk%2Fgovernment%2Fstatistics%2Fspecial-educational-needs-in-england-january-2025&amp;data=05%7C02%7CChildrensServicesFOI%40wokingham.gov.uk%7C4481d256ae1541c4b07808debcd0b941%7C996ee15c0b3e4a6f8e65120a9a51821a%7C0%7C0%7C639155801816853113%7CUnknown%7CTWFpbGZsb3d8eyJFbXB0eU1hcGkiOnRydWUsIlYiOiIwLjAuMDAwMCIsIlAiOiJXaW4zMiIsIkFOIjoiTWFpbCIsIldUIjoyfQ%3D%3D%7C0%7C%7C%7C&amp;sdata=BA9yAv5ESgmZjKoFm0VR17Z58XHouL9mSc7%2BJs%2FiyW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Jordan</dc:creator>
  <cp:keywords/>
  <dc:description/>
  <cp:lastModifiedBy>Frankie Lawrence</cp:lastModifiedBy>
  <cp:revision>2</cp:revision>
  <dcterms:created xsi:type="dcterms:W3CDTF">2026-06-08T13:55:00Z</dcterms:created>
  <dcterms:modified xsi:type="dcterms:W3CDTF">2026-06-08T13:55:00Z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2026-06-08T13:53:35Z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647dcb93-348e-4fd9-bbc9-d0d0e3893246</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