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FE6A" w14:textId="336E9729" w:rsidR="00EA6F16" w:rsidRPr="00EA6F16" w:rsidRDefault="00EA6F16" w:rsidP="00EA6F16">
      <w:pPr>
        <w:jc w:val="center"/>
        <w:rPr>
          <w:rFonts w:ascii="Calibri" w:hAnsi="Calibri" w:cs="Calibri"/>
          <w:b/>
          <w:bCs/>
          <w:sz w:val="22"/>
          <w:szCs w:val="22"/>
          <w:u w:val="single"/>
        </w:rPr>
      </w:pPr>
      <w:r w:rsidRPr="00EA6F16">
        <w:rPr>
          <w:rFonts w:ascii="Calibri" w:hAnsi="Calibri" w:cs="Calibri"/>
          <w:b/>
          <w:bCs/>
          <w:sz w:val="22"/>
          <w:szCs w:val="22"/>
          <w:u w:val="single"/>
        </w:rPr>
        <w:t>WBCIR:21946</w:t>
      </w:r>
    </w:p>
    <w:p w14:paraId="1FC2B90B" w14:textId="6BC54E34" w:rsidR="00B33DA4" w:rsidRPr="00B33DA4" w:rsidRDefault="00CA498F" w:rsidP="00B33DA4">
      <w:pPr>
        <w:rPr>
          <w:rFonts w:ascii="Calibri" w:hAnsi="Calibri" w:cs="Calibri"/>
          <w:b/>
          <w:bCs/>
          <w:sz w:val="22"/>
          <w:szCs w:val="22"/>
        </w:rPr>
      </w:pPr>
      <w:r w:rsidRPr="00B33DA4">
        <w:rPr>
          <w:rFonts w:ascii="Calibri" w:hAnsi="Calibri" w:cs="Calibri"/>
          <w:b/>
          <w:bCs/>
          <w:sz w:val="22"/>
          <w:szCs w:val="22"/>
        </w:rPr>
        <w:t xml:space="preserve">I am writing as a Council </w:t>
      </w:r>
      <w:proofErr w:type="gramStart"/>
      <w:r w:rsidRPr="00B33DA4">
        <w:rPr>
          <w:rFonts w:ascii="Calibri" w:hAnsi="Calibri" w:cs="Calibri"/>
          <w:b/>
          <w:bCs/>
          <w:sz w:val="22"/>
          <w:szCs w:val="22"/>
        </w:rPr>
        <w:t>Tax payer</w:t>
      </w:r>
      <w:proofErr w:type="gramEnd"/>
      <w:r w:rsidRPr="00B33DA4">
        <w:rPr>
          <w:rFonts w:ascii="Calibri" w:hAnsi="Calibri" w:cs="Calibri"/>
          <w:b/>
          <w:bCs/>
          <w:sz w:val="22"/>
          <w:szCs w:val="22"/>
        </w:rPr>
        <w:t xml:space="preserve"> and resident of this borough to submit a formal request for information under the Freedom of Information Act 2000. This letter also serves as a formal notice that I, along with a growing number of residents, am placing this council on record regarding its duty of transparency and its obligation to demonstrate value for public money.</w:t>
      </w:r>
      <w:r w:rsidRPr="00B33DA4">
        <w:rPr>
          <w:rFonts w:ascii="Calibri" w:hAnsi="Calibri" w:cs="Calibri"/>
          <w:b/>
          <w:bCs/>
          <w:sz w:val="22"/>
          <w:szCs w:val="22"/>
        </w:rPr>
        <w:br/>
      </w:r>
      <w:r w:rsidRPr="00B33DA4">
        <w:rPr>
          <w:rFonts w:ascii="Calibri" w:hAnsi="Calibri" w:cs="Calibri"/>
          <w:b/>
          <w:bCs/>
          <w:sz w:val="22"/>
          <w:szCs w:val="22"/>
        </w:rPr>
        <w:br/>
        <w:t>THE CONTEXT: A 54% RISE. DECLINING SERVICES. NO ACCOUNTABILITY.</w:t>
      </w:r>
      <w:r w:rsidRPr="00B33DA4">
        <w:rPr>
          <w:rFonts w:ascii="Calibri" w:hAnsi="Calibri" w:cs="Calibri"/>
          <w:b/>
          <w:bCs/>
          <w:sz w:val="22"/>
          <w:szCs w:val="22"/>
        </w:rPr>
        <w:br/>
        <w:t xml:space="preserve">Since 2016, Council Tax in this area has risen by approximately 54%. The proposed further increase of 4.95% compounds an already unsustainable burden on residents who are simultaneously navigating a </w:t>
      </w:r>
      <w:proofErr w:type="gramStart"/>
      <w:r w:rsidRPr="00B33DA4">
        <w:rPr>
          <w:rFonts w:ascii="Calibri" w:hAnsi="Calibri" w:cs="Calibri"/>
          <w:b/>
          <w:bCs/>
          <w:sz w:val="22"/>
          <w:szCs w:val="22"/>
        </w:rPr>
        <w:t>cost of living</w:t>
      </w:r>
      <w:proofErr w:type="gramEnd"/>
      <w:r w:rsidRPr="00B33DA4">
        <w:rPr>
          <w:rFonts w:ascii="Calibri" w:hAnsi="Calibri" w:cs="Calibri"/>
          <w:b/>
          <w:bCs/>
          <w:sz w:val="22"/>
          <w:szCs w:val="22"/>
        </w:rPr>
        <w:t xml:space="preserve"> crisis affecting food, fuel, energy, and housing.</w:t>
      </w:r>
      <w:r w:rsidRPr="00B33DA4">
        <w:rPr>
          <w:rFonts w:ascii="Calibri" w:hAnsi="Calibri" w:cs="Calibri"/>
          <w:b/>
          <w:bCs/>
          <w:sz w:val="22"/>
          <w:szCs w:val="22"/>
        </w:rPr>
        <w:br/>
        <w:t xml:space="preserve">What have residents received in return? Roads in disrepair. Reduced bin collections. Closed amenities. Restricted recycling access. The gap between what residents </w:t>
      </w:r>
      <w:proofErr w:type="gramStart"/>
      <w:r w:rsidRPr="00B33DA4">
        <w:rPr>
          <w:rFonts w:ascii="Calibri" w:hAnsi="Calibri" w:cs="Calibri"/>
          <w:b/>
          <w:bCs/>
          <w:sz w:val="22"/>
          <w:szCs w:val="22"/>
        </w:rPr>
        <w:t>are</w:t>
      </w:r>
      <w:proofErr w:type="gramEnd"/>
      <w:r w:rsidRPr="00B33DA4">
        <w:rPr>
          <w:rFonts w:ascii="Calibri" w:hAnsi="Calibri" w:cs="Calibri"/>
          <w:b/>
          <w:bCs/>
          <w:sz w:val="22"/>
          <w:szCs w:val="22"/>
        </w:rPr>
        <w:t xml:space="preserve"> asked to pay and what they visibly receive is no longer a matter of perception. It is a matter of public record, and it demands a public answer.</w:t>
      </w:r>
      <w:r w:rsidRPr="00B33DA4">
        <w:rPr>
          <w:rFonts w:ascii="Calibri" w:hAnsi="Calibri" w:cs="Calibri"/>
          <w:b/>
          <w:bCs/>
          <w:sz w:val="22"/>
          <w:szCs w:val="22"/>
        </w:rPr>
        <w:br/>
        <w:t>Meanwhile, credible concerns have been raised about council spending priorities including capital expenditure on council buildings, reliance on high-cost recruitment consultants, a growing number of six-figure salary roles, and expenditure on events, hospitality, and councillor provisions. These concerns are not fringe complaints. They represent a systemic pattern observed across local authorities nationally, and residents deserve to know whether this council is implicated.</w:t>
      </w:r>
      <w:r w:rsidRPr="00B33DA4">
        <w:rPr>
          <w:rFonts w:ascii="Calibri" w:hAnsi="Calibri" w:cs="Calibri"/>
          <w:b/>
          <w:bCs/>
          <w:sz w:val="22"/>
          <w:szCs w:val="22"/>
        </w:rPr>
        <w:br/>
        <w:t>I am therefore formally requesting full disclosure of the following:</w:t>
      </w:r>
      <w:r w:rsidRPr="00B33DA4">
        <w:rPr>
          <w:rFonts w:ascii="Calibri" w:hAnsi="Calibri" w:cs="Calibri"/>
          <w:b/>
          <w:bCs/>
          <w:sz w:val="22"/>
          <w:szCs w:val="22"/>
        </w:rPr>
        <w:br/>
      </w:r>
      <w:r w:rsidRPr="00B33DA4">
        <w:rPr>
          <w:rFonts w:ascii="Calibri" w:hAnsi="Calibri" w:cs="Calibri"/>
          <w:b/>
          <w:bCs/>
          <w:sz w:val="22"/>
          <w:szCs w:val="22"/>
        </w:rPr>
        <w:br/>
        <w:t>PART ONE: COUNCIL EXPENDITURE AND PUBLIC SERVICES</w:t>
      </w:r>
      <w:r w:rsidRPr="00B33DA4">
        <w:rPr>
          <w:rFonts w:ascii="Calibri" w:hAnsi="Calibri" w:cs="Calibri"/>
          <w:b/>
          <w:bCs/>
          <w:sz w:val="22"/>
          <w:szCs w:val="22"/>
        </w:rPr>
        <w:br/>
      </w:r>
      <w:r w:rsidRPr="00B33DA4">
        <w:rPr>
          <w:rFonts w:ascii="Calibri" w:hAnsi="Calibri" w:cs="Calibri"/>
          <w:b/>
          <w:bCs/>
          <w:sz w:val="22"/>
          <w:szCs w:val="22"/>
        </w:rPr>
        <w:br/>
        <w:t>SECTION 1: FULL EXPENDITURE BREAKDOWN</w:t>
      </w:r>
      <w:r w:rsidRPr="00B33DA4">
        <w:rPr>
          <w:rFonts w:ascii="Calibri" w:hAnsi="Calibri" w:cs="Calibri"/>
          <w:b/>
          <w:bCs/>
          <w:sz w:val="22"/>
          <w:szCs w:val="22"/>
        </w:rPr>
        <w:br/>
        <w:t>A complete, itemised breakdown of all Council Tax expenditure for the most recent complete financial year, including departmental allocations and all spending categories.</w:t>
      </w:r>
    </w:p>
    <w:p w14:paraId="67848D77" w14:textId="77777777" w:rsidR="00B33DA4" w:rsidRPr="00B33DA4" w:rsidRDefault="00B33DA4" w:rsidP="00B33DA4">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Expenditure for the authority is not broken down by funding type.</w:t>
      </w:r>
    </w:p>
    <w:p w14:paraId="23AE92CA" w14:textId="6E10ACC5" w:rsidR="00B33DA4" w:rsidRPr="00B33DA4" w:rsidRDefault="00B33DA4" w:rsidP="00B33DA4">
      <w:pPr>
        <w:rPr>
          <w:rFonts w:ascii="Calibri" w:eastAsia="Times New Roman" w:hAnsi="Calibri" w:cs="Calibri"/>
          <w:kern w:val="0"/>
          <w:sz w:val="22"/>
          <w:szCs w:val="22"/>
          <w:lang w:eastAsia="en-GB"/>
          <w14:ligatures w14:val="none"/>
        </w:rPr>
      </w:pPr>
      <w:r w:rsidRPr="00B33DA4">
        <w:rPr>
          <w:rFonts w:ascii="Calibri" w:hAnsi="Calibri" w:cs="Calibri"/>
          <w:sz w:val="22"/>
          <w:szCs w:val="22"/>
        </w:rPr>
        <w:t>The outturn position of the authority was presented to the Executive 25/6/26, which categorised the net position by directorate.</w:t>
      </w:r>
      <w:r>
        <w:rPr>
          <w:rFonts w:ascii="Calibri" w:hAnsi="Calibri" w:cs="Calibri"/>
          <w:sz w:val="22"/>
          <w:szCs w:val="22"/>
        </w:rPr>
        <w:t xml:space="preserve"> </w:t>
      </w:r>
      <w:hyperlink r:id="rId10" w:history="1">
        <w:r w:rsidRPr="00B33DA4">
          <w:rPr>
            <w:rStyle w:val="Hyperlink"/>
            <w:rFonts w:ascii="Calibri" w:hAnsi="Calibri" w:cs="Calibri"/>
            <w:sz w:val="22"/>
            <w:szCs w:val="22"/>
          </w:rPr>
          <w:t xml:space="preserve">(Public </w:t>
        </w:r>
        <w:proofErr w:type="gramStart"/>
        <w:r w:rsidRPr="00B33DA4">
          <w:rPr>
            <w:rStyle w:val="Hyperlink"/>
            <w:rFonts w:ascii="Calibri" w:hAnsi="Calibri" w:cs="Calibri"/>
            <w:sz w:val="22"/>
            <w:szCs w:val="22"/>
          </w:rPr>
          <w:t>Pack)Agenda</w:t>
        </w:r>
        <w:proofErr w:type="gramEnd"/>
        <w:r w:rsidRPr="00B33DA4">
          <w:rPr>
            <w:rStyle w:val="Hyperlink"/>
            <w:rFonts w:ascii="Calibri" w:hAnsi="Calibri" w:cs="Calibri"/>
            <w:sz w:val="22"/>
            <w:szCs w:val="22"/>
          </w:rPr>
          <w:t xml:space="preserve"> Document for Executive, 25/06/2026 19:00</w:t>
        </w:r>
      </w:hyperlink>
      <w:r w:rsidR="00CA498F" w:rsidRPr="00B33DA4">
        <w:rPr>
          <w:rFonts w:ascii="Calibri" w:hAnsi="Calibri" w:cs="Calibri"/>
          <w:sz w:val="22"/>
          <w:szCs w:val="22"/>
        </w:rPr>
        <w:br/>
      </w:r>
      <w:r w:rsidRPr="00B33DA4">
        <w:rPr>
          <w:rFonts w:ascii="Calibri" w:eastAsia="Times New Roman" w:hAnsi="Calibri" w:cs="Calibri"/>
          <w:kern w:val="0"/>
          <w:sz w:val="22"/>
          <w:szCs w:val="22"/>
          <w:lang w:eastAsia="en-GB"/>
          <w14:ligatures w14:val="none"/>
        </w:rPr>
        <w:t>A further breakdown will be available via the Revenue Outturn (RO) form, to be published later this year, from the Ministry of Housing, Communities and Local Government.</w:t>
      </w:r>
    </w:p>
    <w:p w14:paraId="20050D73" w14:textId="52B66AA1" w:rsidR="00B33DA4" w:rsidRPr="00B33DA4" w:rsidRDefault="00B33DA4" w:rsidP="00B33DA4">
      <w:pPr>
        <w:spacing w:after="0" w:line="240" w:lineRule="auto"/>
        <w:rPr>
          <w:rFonts w:ascii="Calibri" w:hAnsi="Calibri" w:cs="Calibri"/>
          <w:sz w:val="22"/>
          <w:szCs w:val="22"/>
        </w:rPr>
      </w:pPr>
      <w:r w:rsidRPr="00B33DA4">
        <w:rPr>
          <w:rFonts w:ascii="Calibri" w:eastAsia="Times New Roman" w:hAnsi="Calibri" w:cs="Calibri"/>
          <w:kern w:val="0"/>
          <w:sz w:val="22"/>
          <w:szCs w:val="22"/>
          <w:lang w:eastAsia="en-GB"/>
          <w14:ligatures w14:val="none"/>
        </w:rPr>
        <w:t>Link to 2024/25 data. A similar search within gov.uk later in 2026 should provide the results for the 25/26 RO forms.</w:t>
      </w:r>
      <w:r>
        <w:rPr>
          <w:rFonts w:ascii="Calibri" w:eastAsia="Times New Roman" w:hAnsi="Calibri" w:cs="Calibri"/>
          <w:kern w:val="0"/>
          <w:sz w:val="22"/>
          <w:szCs w:val="22"/>
          <w:lang w:eastAsia="en-GB"/>
          <w14:ligatures w14:val="none"/>
        </w:rPr>
        <w:t xml:space="preserve"> </w:t>
      </w:r>
      <w:hyperlink r:id="rId11" w:history="1">
        <w:r w:rsidRPr="00B33DA4">
          <w:rPr>
            <w:rStyle w:val="Hyperlink"/>
            <w:rFonts w:ascii="Calibri" w:hAnsi="Calibri" w:cs="Calibri"/>
            <w:sz w:val="22"/>
            <w:szCs w:val="22"/>
          </w:rPr>
          <w:t>Local authority revenue expenditure and financing England: 2024 to 2025 individual local authority data - outturn - GOV.UK</w:t>
        </w:r>
      </w:hyperlink>
    </w:p>
    <w:p w14:paraId="6E72B3EC" w14:textId="79467BB7" w:rsidR="00B33DA4" w:rsidRPr="00B33DA4" w:rsidRDefault="00CA498F" w:rsidP="00B33DA4">
      <w:pPr>
        <w:spacing w:after="0" w:line="240" w:lineRule="auto"/>
        <w:rPr>
          <w:rFonts w:ascii="Calibri" w:eastAsia="Times New Roman" w:hAnsi="Calibri" w:cs="Calibri"/>
          <w:kern w:val="0"/>
          <w:sz w:val="22"/>
          <w:szCs w:val="22"/>
          <w:lang w:eastAsia="en-GB"/>
          <w14:ligatures w14:val="none"/>
        </w:rPr>
      </w:pPr>
      <w:r w:rsidRPr="00B33DA4">
        <w:rPr>
          <w:rFonts w:ascii="Calibri" w:hAnsi="Calibri" w:cs="Calibri"/>
          <w:b/>
          <w:bCs/>
          <w:sz w:val="22"/>
          <w:szCs w:val="22"/>
        </w:rPr>
        <w:br/>
        <w:t>SECTION 2: SPECIFIC AREAS OF CONCERN</w:t>
      </w:r>
      <w:r w:rsidRPr="00B33DA4">
        <w:rPr>
          <w:rFonts w:ascii="Calibri" w:hAnsi="Calibri" w:cs="Calibri"/>
          <w:b/>
          <w:bCs/>
          <w:sz w:val="22"/>
          <w:szCs w:val="22"/>
        </w:rPr>
        <w:br/>
        <w:t>Detailed figures relating to:</w:t>
      </w:r>
      <w:r w:rsidRPr="00B33DA4">
        <w:rPr>
          <w:rFonts w:ascii="Calibri" w:hAnsi="Calibri" w:cs="Calibri"/>
          <w:b/>
          <w:bCs/>
          <w:sz w:val="22"/>
          <w:szCs w:val="22"/>
        </w:rPr>
        <w:br/>
        <w:t>All expenditure on council buildings, including headquarters, refurbishments, and capital projects, with total costs and justifications</w:t>
      </w:r>
      <w:r w:rsidR="00B33DA4" w:rsidRPr="00B33DA4">
        <w:rPr>
          <w:rFonts w:ascii="Calibri" w:hAnsi="Calibri" w:cs="Calibri"/>
          <w:b/>
          <w:bCs/>
          <w:sz w:val="22"/>
          <w:szCs w:val="22"/>
        </w:rPr>
        <w:t xml:space="preserve">: </w:t>
      </w:r>
      <w:r w:rsidR="00B33DA4" w:rsidRPr="00B33DA4">
        <w:rPr>
          <w:rFonts w:ascii="Calibri" w:hAnsi="Calibri" w:cs="Calibri"/>
          <w:sz w:val="22"/>
          <w:szCs w:val="22"/>
        </w:rPr>
        <w:t>Total:</w:t>
      </w:r>
      <w:r w:rsidR="00B33DA4" w:rsidRPr="00B33DA4">
        <w:rPr>
          <w:rFonts w:ascii="Calibri" w:eastAsia="Times New Roman" w:hAnsi="Calibri" w:cs="Calibri"/>
          <w:kern w:val="0"/>
          <w:sz w:val="22"/>
          <w:szCs w:val="22"/>
          <w:lang w:eastAsia="en-GB"/>
          <w14:ligatures w14:val="none"/>
        </w:rPr>
        <w:t xml:space="preserve"> 17,815,294.00 Justifications for individual spend is not available on individual transactions. The </w:t>
      </w:r>
      <w:proofErr w:type="gramStart"/>
      <w:r w:rsidR="00B33DA4" w:rsidRPr="00B33DA4">
        <w:rPr>
          <w:rFonts w:ascii="Calibri" w:eastAsia="Times New Roman" w:hAnsi="Calibri" w:cs="Calibri"/>
          <w:kern w:val="0"/>
          <w:sz w:val="22"/>
          <w:szCs w:val="22"/>
          <w:lang w:eastAsia="en-GB"/>
          <w14:ligatures w14:val="none"/>
        </w:rPr>
        <w:t>medium term</w:t>
      </w:r>
      <w:proofErr w:type="gramEnd"/>
      <w:r w:rsidR="00B33DA4" w:rsidRPr="00B33DA4">
        <w:rPr>
          <w:rFonts w:ascii="Calibri" w:eastAsia="Times New Roman" w:hAnsi="Calibri" w:cs="Calibri"/>
          <w:kern w:val="0"/>
          <w:sz w:val="22"/>
          <w:szCs w:val="22"/>
          <w:lang w:eastAsia="en-GB"/>
          <w14:ligatures w14:val="none"/>
        </w:rPr>
        <w:t xml:space="preserve"> financial plan, approved by Council, sets out the budget for the authority, and will have undergone scrutiny via the budget setting process. Any reactive maintenance will be assessed prior to being approved. See question 4 for links to documents and minutes supporting the budget setting process.</w:t>
      </w:r>
    </w:p>
    <w:p w14:paraId="7EF97146" w14:textId="7A6CD06E" w:rsidR="00B33DA4" w:rsidRPr="00B33DA4" w:rsidRDefault="00B33DA4" w:rsidP="00B33DA4">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t xml:space="preserve">b) </w:t>
      </w:r>
      <w:r w:rsidR="00CA498F" w:rsidRPr="00B33DA4">
        <w:rPr>
          <w:rFonts w:ascii="Calibri" w:hAnsi="Calibri" w:cs="Calibri"/>
          <w:b/>
          <w:bCs/>
          <w:sz w:val="22"/>
          <w:szCs w:val="22"/>
        </w:rPr>
        <w:t>Total spending on external recruitment consultants and agencies, with a breakdown by contract or supplier where possible</w:t>
      </w:r>
      <w:r w:rsidRPr="00B33DA4">
        <w:rPr>
          <w:rFonts w:ascii="Calibri" w:hAnsi="Calibri" w:cs="Calibri"/>
          <w:b/>
          <w:bCs/>
          <w:sz w:val="22"/>
          <w:szCs w:val="22"/>
        </w:rPr>
        <w:t xml:space="preserve">: </w:t>
      </w:r>
      <w:r w:rsidRPr="00B33DA4">
        <w:rPr>
          <w:rFonts w:ascii="Calibri" w:eastAsia="Times New Roman" w:hAnsi="Calibri" w:cs="Calibri"/>
          <w:kern w:val="0"/>
          <w:sz w:val="22"/>
          <w:szCs w:val="22"/>
          <w:lang w:eastAsia="en-GB"/>
          <w14:ligatures w14:val="none"/>
        </w:rPr>
        <w:t xml:space="preserve">Recruitment consultants and agencies costs are coded within all </w:t>
      </w:r>
      <w:r w:rsidRPr="00B33DA4">
        <w:rPr>
          <w:rFonts w:ascii="Calibri" w:eastAsia="Times New Roman" w:hAnsi="Calibri" w:cs="Calibri"/>
          <w:kern w:val="0"/>
          <w:sz w:val="22"/>
          <w:szCs w:val="22"/>
          <w:lang w:eastAsia="en-GB"/>
          <w14:ligatures w14:val="none"/>
        </w:rPr>
        <w:lastRenderedPageBreak/>
        <w:t>consultancy and professional fees and are not individually identifiable.</w:t>
      </w:r>
      <w:r w:rsidR="00CA498F" w:rsidRPr="00B33DA4">
        <w:rPr>
          <w:rFonts w:ascii="Calibri" w:hAnsi="Calibri" w:cs="Calibri"/>
          <w:b/>
          <w:bCs/>
          <w:sz w:val="22"/>
          <w:szCs w:val="22"/>
        </w:rPr>
        <w:br/>
      </w:r>
      <w:r w:rsidRPr="00B33DA4">
        <w:rPr>
          <w:rFonts w:ascii="Calibri" w:hAnsi="Calibri" w:cs="Calibri"/>
          <w:b/>
          <w:bCs/>
          <w:sz w:val="22"/>
          <w:szCs w:val="22"/>
        </w:rPr>
        <w:t xml:space="preserve">c) </w:t>
      </w:r>
      <w:r w:rsidR="00CA498F" w:rsidRPr="00B33DA4">
        <w:rPr>
          <w:rFonts w:ascii="Calibri" w:hAnsi="Calibri" w:cs="Calibri"/>
          <w:b/>
          <w:bCs/>
          <w:sz w:val="22"/>
          <w:szCs w:val="22"/>
        </w:rPr>
        <w:t>The number of employees earning £100,000 or more, their job titles, and the total salary cost of these roles to the public purse</w:t>
      </w:r>
      <w:r w:rsidRPr="00B33DA4">
        <w:rPr>
          <w:rFonts w:ascii="Calibri" w:hAnsi="Calibri" w:cs="Calibri"/>
          <w:b/>
          <w:bCs/>
          <w:sz w:val="22"/>
          <w:szCs w:val="22"/>
        </w:rPr>
        <w:t xml:space="preserve">: </w:t>
      </w:r>
      <w:r w:rsidRPr="00B33DA4">
        <w:rPr>
          <w:rFonts w:ascii="Calibri" w:eastAsia="Times New Roman" w:hAnsi="Calibri" w:cs="Calibri"/>
          <w:kern w:val="0"/>
          <w:sz w:val="22"/>
          <w:szCs w:val="22"/>
          <w:lang w:eastAsia="en-GB"/>
          <w14:ligatures w14:val="none"/>
        </w:rPr>
        <w:t>See SECTION 6 for job titles. The total salary cost of roles to public purse including oncosts for these roles is £3,472,745.78 per annum.</w:t>
      </w:r>
      <w:r w:rsidR="00CA498F" w:rsidRPr="00B33DA4">
        <w:rPr>
          <w:rFonts w:ascii="Calibri" w:hAnsi="Calibri" w:cs="Calibri"/>
          <w:b/>
          <w:bCs/>
          <w:sz w:val="22"/>
          <w:szCs w:val="22"/>
        </w:rPr>
        <w:br/>
      </w:r>
      <w:r w:rsidRPr="00B33DA4">
        <w:rPr>
          <w:rFonts w:ascii="Calibri" w:hAnsi="Calibri" w:cs="Calibri"/>
          <w:b/>
          <w:bCs/>
          <w:sz w:val="22"/>
          <w:szCs w:val="22"/>
        </w:rPr>
        <w:t xml:space="preserve">d) </w:t>
      </w:r>
      <w:r w:rsidR="00CA498F" w:rsidRPr="00B33DA4">
        <w:rPr>
          <w:rFonts w:ascii="Calibri" w:hAnsi="Calibri" w:cs="Calibri"/>
          <w:b/>
          <w:bCs/>
          <w:sz w:val="22"/>
          <w:szCs w:val="22"/>
        </w:rPr>
        <w:t>All expenditure on events, hospitality, catering, food, drink, and provisions for councillors and officers, itemised by occasion or category</w:t>
      </w:r>
      <w:r w:rsidRPr="00B33DA4">
        <w:rPr>
          <w:rFonts w:ascii="Calibri" w:hAnsi="Calibri" w:cs="Calibri"/>
          <w:b/>
          <w:bCs/>
          <w:sz w:val="22"/>
          <w:szCs w:val="22"/>
        </w:rPr>
        <w:t xml:space="preserve">: </w:t>
      </w:r>
      <w:r w:rsidRPr="00B33DA4">
        <w:rPr>
          <w:rFonts w:ascii="Calibri" w:eastAsia="Times New Roman" w:hAnsi="Calibri" w:cs="Calibri"/>
          <w:kern w:val="0"/>
          <w:sz w:val="22"/>
          <w:szCs w:val="22"/>
          <w:lang w:eastAsia="en-GB"/>
          <w14:ligatures w14:val="none"/>
        </w:rPr>
        <w:t xml:space="preserve">Unable to itemise by occasion or category due to number of individual transactions. Total: 52,623.76 </w:t>
      </w:r>
      <w:r w:rsidR="00CA498F" w:rsidRPr="00B33DA4">
        <w:rPr>
          <w:rFonts w:ascii="Calibri" w:hAnsi="Calibri" w:cs="Calibri"/>
          <w:b/>
          <w:bCs/>
          <w:sz w:val="22"/>
          <w:szCs w:val="22"/>
        </w:rPr>
        <w:br/>
      </w:r>
      <w:r w:rsidR="00CA498F" w:rsidRPr="00B33DA4">
        <w:rPr>
          <w:rFonts w:ascii="Calibri" w:hAnsi="Calibri" w:cs="Calibri"/>
          <w:b/>
          <w:bCs/>
          <w:sz w:val="22"/>
          <w:szCs w:val="22"/>
        </w:rPr>
        <w:br/>
        <w:t>SECTION 3: CORE PUBLIC SERVICE EXPENDITURE</w:t>
      </w:r>
      <w:r w:rsidR="00CA498F" w:rsidRPr="00B33DA4">
        <w:rPr>
          <w:rFonts w:ascii="Calibri" w:hAnsi="Calibri" w:cs="Calibri"/>
          <w:b/>
          <w:bCs/>
          <w:sz w:val="22"/>
          <w:szCs w:val="22"/>
        </w:rPr>
        <w:br/>
        <w:t>A clear breakdown of spending on services that directly affect residents:</w:t>
      </w:r>
      <w:r w:rsidR="00CA498F" w:rsidRPr="00B33DA4">
        <w:rPr>
          <w:rFonts w:ascii="Calibri" w:hAnsi="Calibri" w:cs="Calibri"/>
          <w:b/>
          <w:bCs/>
          <w:sz w:val="22"/>
          <w:szCs w:val="22"/>
        </w:rPr>
        <w:br/>
      </w:r>
      <w:r>
        <w:rPr>
          <w:rFonts w:ascii="Calibri" w:hAnsi="Calibri" w:cs="Calibri"/>
          <w:b/>
          <w:bCs/>
          <w:sz w:val="22"/>
          <w:szCs w:val="22"/>
        </w:rPr>
        <w:t xml:space="preserve">a) </w:t>
      </w:r>
      <w:r w:rsidR="00CA498F" w:rsidRPr="00B33DA4">
        <w:rPr>
          <w:rFonts w:ascii="Calibri" w:hAnsi="Calibri" w:cs="Calibri"/>
          <w:b/>
          <w:bCs/>
          <w:sz w:val="22"/>
          <w:szCs w:val="22"/>
        </w:rPr>
        <w:t>Road maintenance and pothole repair, including the number of reported defects versus repairs completed</w:t>
      </w:r>
      <w:r>
        <w:rPr>
          <w:rFonts w:ascii="Calibri" w:hAnsi="Calibri" w:cs="Calibri"/>
          <w:b/>
          <w:bCs/>
          <w:sz w:val="22"/>
          <w:szCs w:val="22"/>
        </w:rPr>
        <w:t xml:space="preserve">: </w:t>
      </w:r>
      <w:r w:rsidRPr="00B33DA4">
        <w:rPr>
          <w:rFonts w:ascii="Calibri" w:hAnsi="Calibri" w:cs="Calibri"/>
          <w:sz w:val="22"/>
          <w:szCs w:val="22"/>
        </w:rPr>
        <w:t xml:space="preserve">In financial year 2025-26, Wokingham Borough received 3171 reports of road (carriageway) defects, including potholes. Reports were submitted via the Report a Problem feature of the Wokingham Borough website at: </w:t>
      </w:r>
      <w:hyperlink r:id="rId12" w:history="1">
        <w:r w:rsidR="00EA6F16" w:rsidRPr="002C4878">
          <w:rPr>
            <w:rStyle w:val="Hyperlink"/>
            <w:rFonts w:ascii="Calibri" w:hAnsi="Calibri" w:cs="Calibri"/>
            <w:sz w:val="22"/>
            <w:szCs w:val="22"/>
          </w:rPr>
          <w:t>https://www.wokingham.gov.uk/roads/report</w:t>
        </w:r>
      </w:hyperlink>
      <w:r w:rsidRPr="00B33DA4">
        <w:rPr>
          <w:rFonts w:ascii="Calibri" w:hAnsi="Calibri" w:cs="Calibri"/>
          <w:sz w:val="22"/>
          <w:szCs w:val="22"/>
        </w:rPr>
        <w:t>. In the same financial year, 2025-26, Wokingham Borough completed 3368 repairs to roads (carriageways), including potholes, at an estimated cost of £725,251.26.</w:t>
      </w:r>
      <w:r w:rsidR="00CA498F" w:rsidRPr="00B33DA4">
        <w:rPr>
          <w:rFonts w:ascii="Calibri" w:hAnsi="Calibri" w:cs="Calibri"/>
          <w:b/>
          <w:bCs/>
          <w:sz w:val="22"/>
          <w:szCs w:val="22"/>
        </w:rPr>
        <w:br/>
      </w:r>
      <w:r w:rsidR="00EA6F16">
        <w:rPr>
          <w:rFonts w:ascii="Calibri" w:hAnsi="Calibri" w:cs="Calibri"/>
          <w:b/>
          <w:bCs/>
          <w:sz w:val="22"/>
          <w:szCs w:val="22"/>
        </w:rPr>
        <w:t xml:space="preserve">b) </w:t>
      </w:r>
      <w:r w:rsidR="00CA498F" w:rsidRPr="00B33DA4">
        <w:rPr>
          <w:rFonts w:ascii="Calibri" w:hAnsi="Calibri" w:cs="Calibri"/>
          <w:b/>
          <w:bCs/>
          <w:sz w:val="22"/>
          <w:szCs w:val="22"/>
        </w:rPr>
        <w:t>Waste collection, including any changes to collection frequency in the past two financial years and any associated cost savings</w:t>
      </w:r>
      <w:r>
        <w:rPr>
          <w:rFonts w:ascii="Calibri" w:hAnsi="Calibri" w:cs="Calibri"/>
          <w:b/>
          <w:bCs/>
          <w:sz w:val="22"/>
          <w:szCs w:val="22"/>
        </w:rPr>
        <w:t xml:space="preserve">: </w:t>
      </w:r>
      <w:r w:rsidRPr="00B33DA4">
        <w:rPr>
          <w:rFonts w:ascii="Calibri" w:hAnsi="Calibri" w:cs="Calibri"/>
          <w:sz w:val="22"/>
          <w:szCs w:val="22"/>
        </w:rPr>
        <w:t>Following the introduction of the Alternate Weekly Collection system in August 2024, this has saved the authority £1m. The cost of waste collection and street cleansing is c. £8m per annum</w:t>
      </w:r>
      <w:r w:rsidR="00CA498F" w:rsidRPr="00B33DA4">
        <w:rPr>
          <w:rFonts w:ascii="Calibri" w:hAnsi="Calibri" w:cs="Calibri"/>
          <w:b/>
          <w:bCs/>
          <w:sz w:val="22"/>
          <w:szCs w:val="22"/>
        </w:rPr>
        <w:br/>
      </w:r>
      <w:r w:rsidR="00EA6F16">
        <w:rPr>
          <w:rFonts w:ascii="Calibri" w:hAnsi="Calibri" w:cs="Calibri"/>
          <w:b/>
          <w:bCs/>
          <w:sz w:val="22"/>
          <w:szCs w:val="22"/>
        </w:rPr>
        <w:t xml:space="preserve">c) </w:t>
      </w:r>
      <w:r w:rsidR="00CA498F" w:rsidRPr="00B33DA4">
        <w:rPr>
          <w:rFonts w:ascii="Calibri" w:hAnsi="Calibri" w:cs="Calibri"/>
          <w:b/>
          <w:bCs/>
          <w:sz w:val="22"/>
          <w:szCs w:val="22"/>
        </w:rPr>
        <w:t>Maintenance, investment in, or closure of public parks and play areas</w:t>
      </w:r>
      <w:r>
        <w:rPr>
          <w:rFonts w:ascii="Calibri" w:hAnsi="Calibri" w:cs="Calibri"/>
          <w:b/>
          <w:bCs/>
          <w:sz w:val="22"/>
          <w:szCs w:val="22"/>
        </w:rPr>
        <w:t xml:space="preserve">: </w:t>
      </w:r>
      <w:r w:rsidRPr="00B33DA4">
        <w:rPr>
          <w:rFonts w:ascii="Calibri" w:hAnsi="Calibri" w:cs="Calibri"/>
          <w:sz w:val="22"/>
          <w:szCs w:val="22"/>
        </w:rPr>
        <w:t>No public parks or play areas have closed. The budget for the maintenance each year is £230k</w:t>
      </w:r>
      <w:r w:rsidR="00CA498F" w:rsidRPr="00B33DA4">
        <w:rPr>
          <w:rFonts w:ascii="Calibri" w:hAnsi="Calibri" w:cs="Calibri"/>
          <w:b/>
          <w:bCs/>
          <w:sz w:val="22"/>
          <w:szCs w:val="22"/>
        </w:rPr>
        <w:br/>
      </w:r>
      <w:r w:rsidR="00EA6F16">
        <w:rPr>
          <w:rFonts w:ascii="Calibri" w:hAnsi="Calibri" w:cs="Calibri"/>
          <w:b/>
          <w:bCs/>
          <w:sz w:val="22"/>
          <w:szCs w:val="22"/>
        </w:rPr>
        <w:t xml:space="preserve">d) </w:t>
      </w:r>
      <w:r w:rsidR="00CA498F" w:rsidRPr="00B33DA4">
        <w:rPr>
          <w:rFonts w:ascii="Calibri" w:hAnsi="Calibri" w:cs="Calibri"/>
          <w:b/>
          <w:bCs/>
          <w:sz w:val="22"/>
          <w:szCs w:val="22"/>
        </w:rPr>
        <w:t>Recycling centre operations, including any reductions in opening hours or accessibility</w:t>
      </w:r>
      <w:r>
        <w:rPr>
          <w:rFonts w:ascii="Calibri" w:hAnsi="Calibri" w:cs="Calibri"/>
          <w:b/>
          <w:bCs/>
          <w:sz w:val="22"/>
          <w:szCs w:val="22"/>
        </w:rPr>
        <w:t xml:space="preserve">: </w:t>
      </w:r>
      <w:r w:rsidRPr="00B33DA4">
        <w:rPr>
          <w:rFonts w:ascii="Calibri" w:hAnsi="Calibri" w:cs="Calibri"/>
          <w:sz w:val="22"/>
          <w:szCs w:val="22"/>
        </w:rPr>
        <w:t>Cost of recycling centre (HWRC’s) operations – c.£1.7m per annum</w:t>
      </w:r>
      <w:r>
        <w:rPr>
          <w:rFonts w:ascii="Calibri" w:hAnsi="Calibri" w:cs="Calibri"/>
          <w:sz w:val="22"/>
          <w:szCs w:val="22"/>
        </w:rPr>
        <w:t xml:space="preserve">. </w:t>
      </w:r>
      <w:r w:rsidRPr="00B33DA4">
        <w:rPr>
          <w:rFonts w:ascii="Calibri" w:hAnsi="Calibri" w:cs="Calibri"/>
          <w:sz w:val="22"/>
          <w:szCs w:val="22"/>
        </w:rPr>
        <w:t>There have been no reductions in opening hours or accessibility in the past two years</w:t>
      </w:r>
      <w:r w:rsidR="00CA498F" w:rsidRPr="00B33DA4">
        <w:rPr>
          <w:rFonts w:ascii="Calibri" w:hAnsi="Calibri" w:cs="Calibri"/>
          <w:b/>
          <w:bCs/>
          <w:sz w:val="22"/>
          <w:szCs w:val="22"/>
        </w:rPr>
        <w:br/>
      </w:r>
      <w:r w:rsidR="00CA498F" w:rsidRPr="00B33DA4">
        <w:rPr>
          <w:rFonts w:ascii="Calibri" w:hAnsi="Calibri" w:cs="Calibri"/>
          <w:b/>
          <w:bCs/>
          <w:sz w:val="22"/>
          <w:szCs w:val="22"/>
        </w:rPr>
        <w:br/>
        <w:t>SECTION 4: COST-SAVING MEASURES</w:t>
      </w:r>
      <w:r w:rsidR="00CA498F" w:rsidRPr="00B33DA4">
        <w:rPr>
          <w:rFonts w:ascii="Calibri" w:hAnsi="Calibri" w:cs="Calibri"/>
          <w:b/>
          <w:bCs/>
          <w:sz w:val="22"/>
          <w:szCs w:val="22"/>
        </w:rPr>
        <w:br/>
        <w:t>Full details of any cost-saving measures implemented by the council in the two financial years prior to the decision to increase Council Tax, including what savings were achieved and how they were reinvested into front-line services.</w:t>
      </w:r>
      <w:r w:rsidR="00CA498F" w:rsidRPr="00B33DA4">
        <w:rPr>
          <w:rFonts w:ascii="Calibri" w:hAnsi="Calibri" w:cs="Calibri"/>
          <w:b/>
          <w:bCs/>
          <w:sz w:val="22"/>
          <w:szCs w:val="22"/>
        </w:rPr>
        <w:br/>
      </w:r>
      <w:r w:rsidRPr="00B33DA4">
        <w:rPr>
          <w:rFonts w:ascii="Calibri" w:eastAsia="Times New Roman" w:hAnsi="Calibri" w:cs="Calibri"/>
          <w:color w:val="000000"/>
          <w:kern w:val="0"/>
          <w:sz w:val="22"/>
          <w:szCs w:val="22"/>
          <w:lang w:eastAsia="en-GB"/>
          <w14:ligatures w14:val="none"/>
        </w:rPr>
        <w:t>The medium term financial plan for each year sets out cost saving measures for the authority.</w:t>
      </w:r>
    </w:p>
    <w:p w14:paraId="53F3D219" w14:textId="77777777"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Individual proposals are reviewed by the Community and Corporate Overview and Scrutiny Committee in the months prior to the budget setting council meetings.</w:t>
      </w:r>
    </w:p>
    <w:p w14:paraId="71EA1817" w14:textId="77777777"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These documents, along with minutes of the meetings, are available on the council website.</w:t>
      </w:r>
    </w:p>
    <w:p w14:paraId="43D8FB33" w14:textId="7E30BB09"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 xml:space="preserve">25/26 - Budget setting council meeting </w:t>
      </w:r>
      <w:hyperlink r:id="rId13" w:history="1">
        <w:r w:rsidRPr="00B33DA4">
          <w:rPr>
            <w:rStyle w:val="Hyperlink"/>
            <w:rFonts w:ascii="Calibri" w:eastAsia="Times New Roman" w:hAnsi="Calibri" w:cs="Calibri"/>
            <w:kern w:val="0"/>
            <w:sz w:val="22"/>
            <w:szCs w:val="22"/>
            <w:lang w:eastAsia="en-GB"/>
            <w14:ligatures w14:val="none"/>
          </w:rPr>
          <w:t xml:space="preserve">Agenda for Council on Thursday, 20th </w:t>
        </w:r>
        <w:proofErr w:type="gramStart"/>
        <w:r w:rsidRPr="00B33DA4">
          <w:rPr>
            <w:rStyle w:val="Hyperlink"/>
            <w:rFonts w:ascii="Calibri" w:eastAsia="Times New Roman" w:hAnsi="Calibri" w:cs="Calibri"/>
            <w:kern w:val="0"/>
            <w:sz w:val="22"/>
            <w:szCs w:val="22"/>
            <w:lang w:eastAsia="en-GB"/>
            <w14:ligatures w14:val="none"/>
          </w:rPr>
          <w:t>February,</w:t>
        </w:r>
        <w:proofErr w:type="gramEnd"/>
        <w:r w:rsidRPr="00B33DA4">
          <w:rPr>
            <w:rStyle w:val="Hyperlink"/>
            <w:rFonts w:ascii="Calibri" w:eastAsia="Times New Roman" w:hAnsi="Calibri" w:cs="Calibri"/>
            <w:kern w:val="0"/>
            <w:sz w:val="22"/>
            <w:szCs w:val="22"/>
            <w:lang w:eastAsia="en-GB"/>
            <w14:ligatures w14:val="none"/>
          </w:rPr>
          <w:t xml:space="preserve"> 2025, 7.30 pm | Wokingham</w:t>
        </w:r>
      </w:hyperlink>
    </w:p>
    <w:p w14:paraId="07FAC1F7" w14:textId="16B82219"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 xml:space="preserve">24/25 - Budget setting council meeting </w:t>
      </w:r>
      <w:hyperlink r:id="rId14" w:history="1">
        <w:r w:rsidRPr="00B33DA4">
          <w:rPr>
            <w:rStyle w:val="Hyperlink"/>
            <w:rFonts w:ascii="Calibri" w:eastAsia="Times New Roman" w:hAnsi="Calibri" w:cs="Calibri"/>
            <w:kern w:val="0"/>
            <w:sz w:val="22"/>
            <w:szCs w:val="22"/>
            <w:lang w:eastAsia="en-GB"/>
            <w14:ligatures w14:val="none"/>
          </w:rPr>
          <w:t xml:space="preserve">Agenda for Council on Thursday, 22nd </w:t>
        </w:r>
        <w:proofErr w:type="gramStart"/>
        <w:r w:rsidRPr="00B33DA4">
          <w:rPr>
            <w:rStyle w:val="Hyperlink"/>
            <w:rFonts w:ascii="Calibri" w:eastAsia="Times New Roman" w:hAnsi="Calibri" w:cs="Calibri"/>
            <w:kern w:val="0"/>
            <w:sz w:val="22"/>
            <w:szCs w:val="22"/>
            <w:lang w:eastAsia="en-GB"/>
            <w14:ligatures w14:val="none"/>
          </w:rPr>
          <w:t>February,</w:t>
        </w:r>
        <w:proofErr w:type="gramEnd"/>
        <w:r w:rsidRPr="00B33DA4">
          <w:rPr>
            <w:rStyle w:val="Hyperlink"/>
            <w:rFonts w:ascii="Calibri" w:eastAsia="Times New Roman" w:hAnsi="Calibri" w:cs="Calibri"/>
            <w:kern w:val="0"/>
            <w:sz w:val="22"/>
            <w:szCs w:val="22"/>
            <w:lang w:eastAsia="en-GB"/>
            <w14:ligatures w14:val="none"/>
          </w:rPr>
          <w:t xml:space="preserve"> 2024, 7.30 pm | Wokingham</w:t>
        </w:r>
      </w:hyperlink>
    </w:p>
    <w:p w14:paraId="09CE1E01" w14:textId="781A4CAA"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 xml:space="preserve">Community and Corporate Overview and Scrutiny Committee - </w:t>
      </w:r>
      <w:hyperlink r:id="rId15" w:history="1">
        <w:r w:rsidRPr="00B33DA4">
          <w:rPr>
            <w:rStyle w:val="Hyperlink"/>
            <w:rFonts w:ascii="Calibri" w:eastAsia="Times New Roman" w:hAnsi="Calibri" w:cs="Calibri"/>
            <w:kern w:val="0"/>
            <w:sz w:val="22"/>
            <w:szCs w:val="22"/>
            <w:lang w:eastAsia="en-GB"/>
            <w14:ligatures w14:val="none"/>
          </w:rPr>
          <w:t>Browse meetings - Community and Corporate Overview and Scrutiny Committee | Wokingham</w:t>
        </w:r>
      </w:hyperlink>
    </w:p>
    <w:p w14:paraId="6959EBBA" w14:textId="3B850C2A"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24/25 - see meetings from October 2023 to January 2024</w:t>
      </w:r>
    </w:p>
    <w:p w14:paraId="1743CA27" w14:textId="4D6A32EE"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 xml:space="preserve">25/26 </w:t>
      </w:r>
      <w:r w:rsidR="00EA6F16">
        <w:rPr>
          <w:rFonts w:ascii="Calibri" w:eastAsia="Times New Roman" w:hAnsi="Calibri" w:cs="Calibri"/>
          <w:color w:val="000000"/>
          <w:kern w:val="0"/>
          <w:sz w:val="22"/>
          <w:szCs w:val="22"/>
          <w:lang w:eastAsia="en-GB"/>
          <w14:ligatures w14:val="none"/>
        </w:rPr>
        <w:t>–</w:t>
      </w:r>
      <w:r w:rsidRPr="00B33DA4">
        <w:rPr>
          <w:rFonts w:ascii="Calibri" w:eastAsia="Times New Roman" w:hAnsi="Calibri" w:cs="Calibri"/>
          <w:color w:val="000000"/>
          <w:kern w:val="0"/>
          <w:sz w:val="22"/>
          <w:szCs w:val="22"/>
          <w:lang w:eastAsia="en-GB"/>
          <w14:ligatures w14:val="none"/>
        </w:rPr>
        <w:t xml:space="preserve"> see</w:t>
      </w:r>
      <w:r w:rsidR="00EA6F16">
        <w:rPr>
          <w:rFonts w:ascii="Calibri" w:eastAsia="Times New Roman" w:hAnsi="Calibri" w:cs="Calibri"/>
          <w:color w:val="000000"/>
          <w:kern w:val="0"/>
          <w:sz w:val="22"/>
          <w:szCs w:val="22"/>
          <w:lang w:eastAsia="en-GB"/>
          <w14:ligatures w14:val="none"/>
        </w:rPr>
        <w:t xml:space="preserve"> </w:t>
      </w:r>
      <w:r w:rsidRPr="00B33DA4">
        <w:rPr>
          <w:rFonts w:ascii="Calibri" w:eastAsia="Times New Roman" w:hAnsi="Calibri" w:cs="Calibri"/>
          <w:color w:val="000000"/>
          <w:kern w:val="0"/>
          <w:sz w:val="22"/>
          <w:szCs w:val="22"/>
          <w:lang w:eastAsia="en-GB"/>
          <w14:ligatures w14:val="none"/>
        </w:rPr>
        <w:t>meetings from October 2024 to January 2025</w:t>
      </w:r>
    </w:p>
    <w:p w14:paraId="4E996949" w14:textId="4B710D93"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 xml:space="preserve">Any savings are used to offset growth, inflation and other cost </w:t>
      </w:r>
      <w:r w:rsidR="00EA6F16" w:rsidRPr="00B33DA4">
        <w:rPr>
          <w:rFonts w:ascii="Calibri" w:eastAsia="Times New Roman" w:hAnsi="Calibri" w:cs="Calibri"/>
          <w:color w:val="000000"/>
          <w:kern w:val="0"/>
          <w:sz w:val="22"/>
          <w:szCs w:val="22"/>
          <w:lang w:eastAsia="en-GB"/>
          <w14:ligatures w14:val="none"/>
        </w:rPr>
        <w:t>pressures</w:t>
      </w:r>
      <w:r w:rsidRPr="00B33DA4">
        <w:rPr>
          <w:rFonts w:ascii="Calibri" w:eastAsia="Times New Roman" w:hAnsi="Calibri" w:cs="Calibri"/>
          <w:color w:val="000000"/>
          <w:kern w:val="0"/>
          <w:sz w:val="22"/>
          <w:szCs w:val="22"/>
          <w:lang w:eastAsia="en-GB"/>
          <w14:ligatures w14:val="none"/>
        </w:rPr>
        <w:t xml:space="preserve"> of the council. They are not specifically allocated.</w:t>
      </w:r>
    </w:p>
    <w:p w14:paraId="5E163EB3" w14:textId="77777777" w:rsidR="00B33DA4" w:rsidRPr="00B33DA4" w:rsidRDefault="00B33DA4" w:rsidP="00B33DA4">
      <w:pPr>
        <w:spacing w:after="0" w:line="240" w:lineRule="auto"/>
        <w:rPr>
          <w:rFonts w:ascii="Calibri" w:eastAsia="Times New Roman" w:hAnsi="Calibri" w:cs="Calibri"/>
          <w:color w:val="000000"/>
          <w:kern w:val="0"/>
          <w:sz w:val="22"/>
          <w:szCs w:val="22"/>
          <w:lang w:eastAsia="en-GB"/>
          <w14:ligatures w14:val="none"/>
        </w:rPr>
      </w:pPr>
      <w:r w:rsidRPr="00B33DA4">
        <w:rPr>
          <w:rFonts w:ascii="Calibri" w:eastAsia="Times New Roman" w:hAnsi="Calibri" w:cs="Calibri"/>
          <w:color w:val="000000"/>
          <w:kern w:val="0"/>
          <w:sz w:val="22"/>
          <w:szCs w:val="22"/>
          <w:lang w:eastAsia="en-GB"/>
          <w14:ligatures w14:val="none"/>
        </w:rPr>
        <w:t>Achievement of savings will be monitored via regular budget monitoring meetings.</w:t>
      </w:r>
    </w:p>
    <w:p w14:paraId="54203536" w14:textId="6ECF1F61" w:rsidR="00CA498F" w:rsidRPr="00B33DA4" w:rsidRDefault="00CA498F" w:rsidP="00CA498F">
      <w:pPr>
        <w:rPr>
          <w:rFonts w:ascii="Calibri" w:eastAsia="Times New Roman" w:hAnsi="Calibri" w:cs="Calibri"/>
          <w:color w:val="000000"/>
          <w:kern w:val="0"/>
          <w:sz w:val="22"/>
          <w:szCs w:val="22"/>
          <w:lang w:eastAsia="en-GB"/>
          <w14:ligatures w14:val="none"/>
        </w:rPr>
      </w:pPr>
      <w:r w:rsidRPr="00B33DA4">
        <w:rPr>
          <w:rFonts w:ascii="Calibri" w:hAnsi="Calibri" w:cs="Calibri"/>
          <w:b/>
          <w:bCs/>
          <w:sz w:val="22"/>
          <w:szCs w:val="22"/>
        </w:rPr>
        <w:lastRenderedPageBreak/>
        <w:br/>
        <w:t>SECTION 5: JUSTIFICATION FOR THE PROPOSED INCREASE</w:t>
      </w:r>
      <w:r w:rsidRPr="00B33DA4">
        <w:rPr>
          <w:rFonts w:ascii="Calibri" w:hAnsi="Calibri" w:cs="Calibri"/>
          <w:b/>
          <w:bCs/>
          <w:sz w:val="22"/>
          <w:szCs w:val="22"/>
        </w:rPr>
        <w:br/>
        <w:t>Copies of, or direct access to, any internal reports, financial assessments, impact analyses, or documented justifications used to support the proposed Council Tax increase, including projected outcomes for residents and any performance metrics or service improvement targets attached to this increase.</w:t>
      </w:r>
      <w:r w:rsidRPr="00B33DA4">
        <w:rPr>
          <w:rFonts w:ascii="Calibri" w:hAnsi="Calibri" w:cs="Calibri"/>
          <w:b/>
          <w:bCs/>
          <w:sz w:val="22"/>
          <w:szCs w:val="22"/>
        </w:rPr>
        <w:br/>
      </w:r>
      <w:r w:rsidRPr="00B33DA4">
        <w:rPr>
          <w:rFonts w:ascii="Calibri" w:eastAsia="Times New Roman" w:hAnsi="Calibri" w:cs="Calibri"/>
          <w:color w:val="000000"/>
          <w:kern w:val="0"/>
          <w:sz w:val="22"/>
          <w:szCs w:val="22"/>
          <w:lang w:eastAsia="en-GB"/>
          <w14:ligatures w14:val="none"/>
        </w:rPr>
        <w:t xml:space="preserve">Please see answer to question 4 - Links provided </w:t>
      </w:r>
    </w:p>
    <w:p w14:paraId="7C19A2C6" w14:textId="4598DFB2" w:rsidR="00CA498F" w:rsidRPr="00B33DA4" w:rsidRDefault="00CA498F" w:rsidP="00CA498F">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br/>
        <w:t>PART TWO: SENIOR MANAGEMENT COSTS</w:t>
      </w:r>
      <w:r w:rsidRPr="00B33DA4">
        <w:rPr>
          <w:rFonts w:ascii="Calibri" w:hAnsi="Calibri" w:cs="Calibri"/>
          <w:b/>
          <w:bCs/>
          <w:sz w:val="22"/>
          <w:szCs w:val="22"/>
        </w:rPr>
        <w:br/>
        <w:t>SECTION 6: SENIOR EMPLOYEE SALARIES</w:t>
      </w:r>
      <w:r w:rsidRPr="00B33DA4">
        <w:rPr>
          <w:rFonts w:ascii="Calibri" w:hAnsi="Calibri" w:cs="Calibri"/>
          <w:b/>
          <w:bCs/>
          <w:sz w:val="22"/>
          <w:szCs w:val="22"/>
        </w:rPr>
        <w:br/>
        <w:t xml:space="preserve">a) The total number of council employees currently earning a salary of 100,000 pounds or more per annum, inclusive of all contractual allowances and supplements but excluding pension contributions: </w:t>
      </w:r>
      <w:r w:rsidRPr="00B33DA4">
        <w:rPr>
          <w:rFonts w:ascii="Calibri" w:eastAsia="Times New Roman" w:hAnsi="Calibri" w:cs="Calibri"/>
          <w:kern w:val="0"/>
          <w:sz w:val="22"/>
          <w:szCs w:val="22"/>
          <w:lang w:eastAsia="en-GB"/>
          <w14:ligatures w14:val="none"/>
        </w:rPr>
        <w:t xml:space="preserve">As of start June 2026 – includes permanent, FTC, </w:t>
      </w:r>
      <w:proofErr w:type="gramStart"/>
      <w:r w:rsidRPr="00B33DA4">
        <w:rPr>
          <w:rFonts w:ascii="Calibri" w:eastAsia="Times New Roman" w:hAnsi="Calibri" w:cs="Calibri"/>
          <w:kern w:val="0"/>
          <w:sz w:val="22"/>
          <w:szCs w:val="22"/>
          <w:lang w:eastAsia="en-GB"/>
          <w14:ligatures w14:val="none"/>
        </w:rPr>
        <w:t>Seconded</w:t>
      </w:r>
      <w:proofErr w:type="gramEnd"/>
      <w:r w:rsidRPr="00B33DA4">
        <w:rPr>
          <w:rFonts w:ascii="Calibri" w:eastAsia="Times New Roman" w:hAnsi="Calibri" w:cs="Calibri"/>
          <w:kern w:val="0"/>
          <w:sz w:val="22"/>
          <w:szCs w:val="22"/>
          <w:lang w:eastAsia="en-GB"/>
          <w14:ligatures w14:val="none"/>
        </w:rPr>
        <w:t xml:space="preserve"> in, </w:t>
      </w:r>
      <w:proofErr w:type="gramStart"/>
      <w:r w:rsidRPr="00B33DA4">
        <w:rPr>
          <w:rFonts w:ascii="Calibri" w:eastAsia="Times New Roman" w:hAnsi="Calibri" w:cs="Calibri"/>
          <w:kern w:val="0"/>
          <w:sz w:val="22"/>
          <w:szCs w:val="22"/>
          <w:lang w:eastAsia="en-GB"/>
          <w14:ligatures w14:val="none"/>
        </w:rPr>
        <w:t>Apprentice</w:t>
      </w:r>
      <w:proofErr w:type="gramEnd"/>
      <w:r w:rsidRPr="00B33DA4">
        <w:rPr>
          <w:rFonts w:ascii="Calibri" w:eastAsia="Times New Roman" w:hAnsi="Calibri" w:cs="Calibri"/>
          <w:kern w:val="0"/>
          <w:sz w:val="22"/>
          <w:szCs w:val="22"/>
          <w:lang w:eastAsia="en-GB"/>
          <w14:ligatures w14:val="none"/>
        </w:rPr>
        <w:t xml:space="preserve"> posts; excludes agency, partner, casual, volunteer, student.</w:t>
      </w:r>
      <w:r w:rsidRPr="00B33DA4">
        <w:rPr>
          <w:rFonts w:ascii="Calibri" w:eastAsia="Times New Roman" w:hAnsi="Calibri" w:cs="Calibri"/>
          <w:b/>
          <w:bCs/>
          <w:kern w:val="0"/>
          <w:sz w:val="22"/>
          <w:szCs w:val="22"/>
          <w:lang w:eastAsia="en-GB"/>
          <w14:ligatures w14:val="none"/>
        </w:rPr>
        <w:t xml:space="preserve"> </w:t>
      </w:r>
      <w:r w:rsidRPr="00EA6F16">
        <w:rPr>
          <w:rFonts w:ascii="Calibri" w:eastAsia="Times New Roman" w:hAnsi="Calibri" w:cs="Calibri"/>
          <w:kern w:val="0"/>
          <w:sz w:val="22"/>
          <w:szCs w:val="22"/>
          <w:lang w:eastAsia="en-GB"/>
          <w14:ligatures w14:val="none"/>
        </w:rPr>
        <w:t>21</w:t>
      </w:r>
      <w:r w:rsidRPr="00B33DA4">
        <w:rPr>
          <w:rFonts w:ascii="Calibri" w:eastAsia="Times New Roman" w:hAnsi="Calibri" w:cs="Calibri"/>
          <w:b/>
          <w:bCs/>
          <w:kern w:val="0"/>
          <w:sz w:val="22"/>
          <w:szCs w:val="22"/>
          <w:lang w:eastAsia="en-GB"/>
          <w14:ligatures w14:val="none"/>
        </w:rPr>
        <w:t xml:space="preserve"> </w:t>
      </w:r>
      <w:r w:rsidRPr="00B33DA4">
        <w:rPr>
          <w:rFonts w:ascii="Calibri" w:eastAsia="Times New Roman" w:hAnsi="Calibri" w:cs="Calibri"/>
          <w:kern w:val="0"/>
          <w:sz w:val="22"/>
          <w:szCs w:val="22"/>
          <w:lang w:eastAsia="en-GB"/>
          <w14:ligatures w14:val="none"/>
        </w:rPr>
        <w:t>staff earn £100,000 or more before tax, *based on actual salary</w:t>
      </w:r>
      <w:r w:rsidRPr="00B33DA4">
        <w:rPr>
          <w:rFonts w:ascii="Calibri" w:hAnsi="Calibri" w:cs="Calibri"/>
          <w:b/>
          <w:bCs/>
          <w:sz w:val="22"/>
          <w:szCs w:val="22"/>
        </w:rPr>
        <w:br/>
        <w:t xml:space="preserve">b) A breakdown of those roles by job title, salary band, and department: </w:t>
      </w:r>
      <w:r w:rsidRPr="00B33DA4">
        <w:rPr>
          <w:rFonts w:ascii="Calibri" w:eastAsia="Times New Roman" w:hAnsi="Calibri" w:cs="Calibri"/>
          <w:kern w:val="0"/>
          <w:sz w:val="22"/>
          <w:szCs w:val="22"/>
          <w:lang w:eastAsia="en-GB"/>
          <w14:ligatures w14:val="none"/>
        </w:rPr>
        <w:t xml:space="preserve">As of start June 2026 – includes permanent, FTC, </w:t>
      </w:r>
      <w:proofErr w:type="gramStart"/>
      <w:r w:rsidRPr="00B33DA4">
        <w:rPr>
          <w:rFonts w:ascii="Calibri" w:eastAsia="Times New Roman" w:hAnsi="Calibri" w:cs="Calibri"/>
          <w:kern w:val="0"/>
          <w:sz w:val="22"/>
          <w:szCs w:val="22"/>
          <w:lang w:eastAsia="en-GB"/>
          <w14:ligatures w14:val="none"/>
        </w:rPr>
        <w:t>Seconded</w:t>
      </w:r>
      <w:proofErr w:type="gramEnd"/>
      <w:r w:rsidRPr="00B33DA4">
        <w:rPr>
          <w:rFonts w:ascii="Calibri" w:eastAsia="Times New Roman" w:hAnsi="Calibri" w:cs="Calibri"/>
          <w:kern w:val="0"/>
          <w:sz w:val="22"/>
          <w:szCs w:val="22"/>
          <w:lang w:eastAsia="en-GB"/>
          <w14:ligatures w14:val="none"/>
        </w:rPr>
        <w:t xml:space="preserve"> in, </w:t>
      </w:r>
      <w:proofErr w:type="gramStart"/>
      <w:r w:rsidRPr="00B33DA4">
        <w:rPr>
          <w:rFonts w:ascii="Calibri" w:eastAsia="Times New Roman" w:hAnsi="Calibri" w:cs="Calibri"/>
          <w:kern w:val="0"/>
          <w:sz w:val="22"/>
          <w:szCs w:val="22"/>
          <w:lang w:eastAsia="en-GB"/>
          <w14:ligatures w14:val="none"/>
        </w:rPr>
        <w:t>Apprentice</w:t>
      </w:r>
      <w:proofErr w:type="gramEnd"/>
      <w:r w:rsidRPr="00B33DA4">
        <w:rPr>
          <w:rFonts w:ascii="Calibri" w:eastAsia="Times New Roman" w:hAnsi="Calibri" w:cs="Calibri"/>
          <w:kern w:val="0"/>
          <w:sz w:val="22"/>
          <w:szCs w:val="22"/>
          <w:lang w:eastAsia="en-GB"/>
          <w14:ligatures w14:val="none"/>
        </w:rPr>
        <w:t xml:space="preserve"> posts; excludes agency, partner, casual, volunteer, student. As the roles falling within the requested criteria are Service Director and above, please refer to the Pay Policy Statement available on the website. </w:t>
      </w:r>
      <w:hyperlink r:id="rId16" w:history="1">
        <w:r w:rsidRPr="00B33DA4">
          <w:rPr>
            <w:rStyle w:val="Hyperlink"/>
            <w:rFonts w:ascii="Calibri" w:eastAsia="Times New Roman" w:hAnsi="Calibri" w:cs="Calibri"/>
            <w:kern w:val="0"/>
            <w:sz w:val="22"/>
            <w:szCs w:val="22"/>
            <w:lang w:eastAsia="en-GB"/>
            <w14:ligatures w14:val="none"/>
          </w:rPr>
          <w:t>Data sets and open data</w:t>
        </w:r>
      </w:hyperlink>
    </w:p>
    <w:tbl>
      <w:tblPr>
        <w:tblW w:w="9360" w:type="dxa"/>
        <w:tblLook w:val="04A0" w:firstRow="1" w:lastRow="0" w:firstColumn="1" w:lastColumn="0" w:noHBand="0" w:noVBand="1"/>
      </w:tblPr>
      <w:tblGrid>
        <w:gridCol w:w="9360"/>
      </w:tblGrid>
      <w:tr w:rsidR="00CA498F" w:rsidRPr="00B33DA4" w14:paraId="0C01C9A1" w14:textId="77777777" w:rsidTr="00CA498F">
        <w:trPr>
          <w:trHeight w:val="312"/>
        </w:trPr>
        <w:tc>
          <w:tcPr>
            <w:tcW w:w="9360" w:type="dxa"/>
            <w:tcBorders>
              <w:top w:val="nil"/>
              <w:left w:val="nil"/>
              <w:bottom w:val="nil"/>
              <w:right w:val="nil"/>
            </w:tcBorders>
            <w:noWrap/>
            <w:vAlign w:val="center"/>
            <w:hideMark/>
          </w:tcPr>
          <w:p w14:paraId="5BC76886" w14:textId="77777777" w:rsidR="00CA498F" w:rsidRPr="00B33DA4" w:rsidRDefault="00CA498F" w:rsidP="00CA498F">
            <w:pPr>
              <w:spacing w:after="0" w:line="240" w:lineRule="auto"/>
              <w:rPr>
                <w:rFonts w:ascii="Calibri" w:eastAsia="Times New Roman" w:hAnsi="Calibri" w:cs="Calibri"/>
                <w:b/>
                <w:bCs/>
                <w:kern w:val="0"/>
                <w:sz w:val="22"/>
                <w:szCs w:val="22"/>
                <w:u w:val="single"/>
                <w:lang w:eastAsia="en-GB"/>
                <w14:ligatures w14:val="none"/>
              </w:rPr>
            </w:pPr>
            <w:r w:rsidRPr="00B33DA4">
              <w:rPr>
                <w:rFonts w:ascii="Calibri" w:eastAsia="Times New Roman" w:hAnsi="Calibri" w:cs="Calibri"/>
                <w:b/>
                <w:bCs/>
                <w:kern w:val="0"/>
                <w:sz w:val="22"/>
                <w:szCs w:val="22"/>
                <w:u w:val="single"/>
                <w:lang w:eastAsia="en-GB"/>
                <w14:ligatures w14:val="none"/>
              </w:rPr>
              <w:t>Position | Service</w:t>
            </w:r>
          </w:p>
        </w:tc>
      </w:tr>
      <w:tr w:rsidR="00CA498F" w:rsidRPr="00B33DA4" w14:paraId="254B866C" w14:textId="77777777" w:rsidTr="00CA498F">
        <w:trPr>
          <w:trHeight w:val="312"/>
        </w:trPr>
        <w:tc>
          <w:tcPr>
            <w:tcW w:w="9360" w:type="dxa"/>
            <w:tcBorders>
              <w:top w:val="nil"/>
              <w:left w:val="nil"/>
              <w:bottom w:val="nil"/>
              <w:right w:val="nil"/>
            </w:tcBorders>
            <w:noWrap/>
            <w:vAlign w:val="center"/>
            <w:hideMark/>
          </w:tcPr>
          <w:p w14:paraId="3BA0DD03"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Chief Executive | Corporate, Community and Change</w:t>
            </w:r>
          </w:p>
        </w:tc>
      </w:tr>
      <w:tr w:rsidR="00CA498F" w:rsidRPr="00B33DA4" w14:paraId="43805B60" w14:textId="77777777" w:rsidTr="00CA498F">
        <w:trPr>
          <w:trHeight w:val="312"/>
        </w:trPr>
        <w:tc>
          <w:tcPr>
            <w:tcW w:w="9360" w:type="dxa"/>
            <w:tcBorders>
              <w:top w:val="nil"/>
              <w:left w:val="nil"/>
              <w:bottom w:val="nil"/>
              <w:right w:val="nil"/>
            </w:tcBorders>
            <w:noWrap/>
            <w:vAlign w:val="center"/>
            <w:hideMark/>
          </w:tcPr>
          <w:p w14:paraId="5D7097E7"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Executive Director for Children, Adults and Health | Adult Social Care &amp; Health</w:t>
            </w:r>
          </w:p>
        </w:tc>
      </w:tr>
      <w:tr w:rsidR="00CA498F" w:rsidRPr="00B33DA4" w14:paraId="250E529F" w14:textId="77777777" w:rsidTr="00CA498F">
        <w:trPr>
          <w:trHeight w:val="312"/>
        </w:trPr>
        <w:tc>
          <w:tcPr>
            <w:tcW w:w="9360" w:type="dxa"/>
            <w:tcBorders>
              <w:top w:val="nil"/>
              <w:left w:val="nil"/>
              <w:bottom w:val="nil"/>
              <w:right w:val="nil"/>
            </w:tcBorders>
            <w:noWrap/>
            <w:vAlign w:val="center"/>
            <w:hideMark/>
          </w:tcPr>
          <w:p w14:paraId="2E3E3F47"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Director, Resources &amp; Assets and Deputy Chief Executive | Resources &amp; Assets</w:t>
            </w:r>
          </w:p>
        </w:tc>
      </w:tr>
      <w:tr w:rsidR="00CA498F" w:rsidRPr="00B33DA4" w14:paraId="40E4AC84" w14:textId="77777777" w:rsidTr="00CA498F">
        <w:trPr>
          <w:trHeight w:val="312"/>
        </w:trPr>
        <w:tc>
          <w:tcPr>
            <w:tcW w:w="9360" w:type="dxa"/>
            <w:tcBorders>
              <w:top w:val="nil"/>
              <w:left w:val="nil"/>
              <w:bottom w:val="nil"/>
              <w:right w:val="nil"/>
            </w:tcBorders>
            <w:noWrap/>
            <w:vAlign w:val="center"/>
            <w:hideMark/>
          </w:tcPr>
          <w:p w14:paraId="318470B5"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Director, Children's Services | Children's Services</w:t>
            </w:r>
          </w:p>
        </w:tc>
      </w:tr>
      <w:tr w:rsidR="00CA498F" w:rsidRPr="00B33DA4" w14:paraId="67B50EF4" w14:textId="77777777" w:rsidTr="00CA498F">
        <w:trPr>
          <w:trHeight w:val="312"/>
        </w:trPr>
        <w:tc>
          <w:tcPr>
            <w:tcW w:w="9360" w:type="dxa"/>
            <w:tcBorders>
              <w:top w:val="nil"/>
              <w:left w:val="nil"/>
              <w:bottom w:val="nil"/>
              <w:right w:val="nil"/>
            </w:tcBorders>
            <w:noWrap/>
            <w:vAlign w:val="center"/>
            <w:hideMark/>
          </w:tcPr>
          <w:p w14:paraId="1FBB18D9"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Director, Corporate, Community and Change | Corporate, Community and Change</w:t>
            </w:r>
          </w:p>
        </w:tc>
      </w:tr>
      <w:tr w:rsidR="00CA498F" w:rsidRPr="00B33DA4" w14:paraId="5CBFBB2E" w14:textId="77777777" w:rsidTr="00CA498F">
        <w:trPr>
          <w:trHeight w:val="312"/>
        </w:trPr>
        <w:tc>
          <w:tcPr>
            <w:tcW w:w="9360" w:type="dxa"/>
            <w:tcBorders>
              <w:top w:val="nil"/>
              <w:left w:val="nil"/>
              <w:bottom w:val="nil"/>
              <w:right w:val="nil"/>
            </w:tcBorders>
            <w:noWrap/>
            <w:vAlign w:val="center"/>
            <w:hideMark/>
          </w:tcPr>
          <w:p w14:paraId="280B837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Director of Public Health | Adult Social Care &amp; Health</w:t>
            </w:r>
          </w:p>
        </w:tc>
      </w:tr>
      <w:tr w:rsidR="00CA498F" w:rsidRPr="00B33DA4" w14:paraId="48145E1D" w14:textId="77777777" w:rsidTr="00CA498F">
        <w:trPr>
          <w:trHeight w:val="312"/>
        </w:trPr>
        <w:tc>
          <w:tcPr>
            <w:tcW w:w="9360" w:type="dxa"/>
            <w:tcBorders>
              <w:top w:val="nil"/>
              <w:left w:val="nil"/>
              <w:bottom w:val="nil"/>
              <w:right w:val="nil"/>
            </w:tcBorders>
            <w:noWrap/>
            <w:vAlign w:val="center"/>
            <w:hideMark/>
          </w:tcPr>
          <w:p w14:paraId="427CC813"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Adult Social Care (Operations) | Adult Social Care &amp; Health</w:t>
            </w:r>
          </w:p>
        </w:tc>
      </w:tr>
      <w:tr w:rsidR="00CA498F" w:rsidRPr="00B33DA4" w14:paraId="40F0AF22" w14:textId="77777777" w:rsidTr="00CA498F">
        <w:trPr>
          <w:trHeight w:val="312"/>
        </w:trPr>
        <w:tc>
          <w:tcPr>
            <w:tcW w:w="9360" w:type="dxa"/>
            <w:tcBorders>
              <w:top w:val="nil"/>
              <w:left w:val="nil"/>
              <w:bottom w:val="nil"/>
              <w:right w:val="nil"/>
            </w:tcBorders>
            <w:noWrap/>
            <w:vAlign w:val="center"/>
            <w:hideMark/>
          </w:tcPr>
          <w:p w14:paraId="506B56E0"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 Adult Safeguarding and Community Safety | Adult Social Care &amp; Health</w:t>
            </w:r>
          </w:p>
        </w:tc>
      </w:tr>
      <w:tr w:rsidR="00CA498F" w:rsidRPr="00B33DA4" w14:paraId="5A7AB16B" w14:textId="77777777" w:rsidTr="00CA498F">
        <w:trPr>
          <w:trHeight w:val="312"/>
        </w:trPr>
        <w:tc>
          <w:tcPr>
            <w:tcW w:w="9360" w:type="dxa"/>
            <w:tcBorders>
              <w:top w:val="nil"/>
              <w:left w:val="nil"/>
              <w:bottom w:val="nil"/>
              <w:right w:val="nil"/>
            </w:tcBorders>
            <w:noWrap/>
            <w:vAlign w:val="center"/>
            <w:hideMark/>
          </w:tcPr>
          <w:p w14:paraId="6C7B8A6F"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 Adult Social Care - Strategy, Transformation and Commissioning | Adult Social Care &amp; Health</w:t>
            </w:r>
          </w:p>
        </w:tc>
      </w:tr>
      <w:tr w:rsidR="00CA498F" w:rsidRPr="00B33DA4" w14:paraId="6EE60BC0" w14:textId="77777777" w:rsidTr="00CA498F">
        <w:trPr>
          <w:trHeight w:val="312"/>
        </w:trPr>
        <w:tc>
          <w:tcPr>
            <w:tcW w:w="9360" w:type="dxa"/>
            <w:tcBorders>
              <w:top w:val="nil"/>
              <w:left w:val="nil"/>
              <w:bottom w:val="nil"/>
              <w:right w:val="nil"/>
            </w:tcBorders>
            <w:noWrap/>
            <w:vAlign w:val="center"/>
            <w:hideMark/>
          </w:tcPr>
          <w:p w14:paraId="2FF541B2"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of Education | Children's Services</w:t>
            </w:r>
          </w:p>
        </w:tc>
      </w:tr>
      <w:tr w:rsidR="00CA498F" w:rsidRPr="00B33DA4" w14:paraId="45CA8AE5" w14:textId="77777777" w:rsidTr="00CA498F">
        <w:trPr>
          <w:trHeight w:val="312"/>
        </w:trPr>
        <w:tc>
          <w:tcPr>
            <w:tcW w:w="9360" w:type="dxa"/>
            <w:tcBorders>
              <w:top w:val="nil"/>
              <w:left w:val="nil"/>
              <w:bottom w:val="nil"/>
              <w:right w:val="nil"/>
            </w:tcBorders>
            <w:noWrap/>
            <w:vAlign w:val="center"/>
            <w:hideMark/>
          </w:tcPr>
          <w:p w14:paraId="0A5DA689"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Homes, Care and Provision | Children's Services</w:t>
            </w:r>
          </w:p>
        </w:tc>
      </w:tr>
      <w:tr w:rsidR="00CA498F" w:rsidRPr="00B33DA4" w14:paraId="443BEBEF" w14:textId="77777777" w:rsidTr="00CA498F">
        <w:trPr>
          <w:trHeight w:val="312"/>
        </w:trPr>
        <w:tc>
          <w:tcPr>
            <w:tcW w:w="9360" w:type="dxa"/>
            <w:tcBorders>
              <w:top w:val="nil"/>
              <w:left w:val="nil"/>
              <w:bottom w:val="nil"/>
              <w:right w:val="nil"/>
            </w:tcBorders>
            <w:noWrap/>
            <w:vAlign w:val="center"/>
            <w:hideMark/>
          </w:tcPr>
          <w:p w14:paraId="063F44B8"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Governance | Resources &amp; Assets</w:t>
            </w:r>
          </w:p>
        </w:tc>
      </w:tr>
      <w:tr w:rsidR="00CA498F" w:rsidRPr="00B33DA4" w14:paraId="59193640" w14:textId="77777777" w:rsidTr="00CA498F">
        <w:trPr>
          <w:trHeight w:val="312"/>
        </w:trPr>
        <w:tc>
          <w:tcPr>
            <w:tcW w:w="9360" w:type="dxa"/>
            <w:tcBorders>
              <w:top w:val="nil"/>
              <w:left w:val="nil"/>
              <w:bottom w:val="nil"/>
              <w:right w:val="nil"/>
            </w:tcBorders>
            <w:noWrap/>
            <w:vAlign w:val="center"/>
            <w:hideMark/>
          </w:tcPr>
          <w:p w14:paraId="49D7064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Finance | Resources &amp; Assets</w:t>
            </w:r>
          </w:p>
        </w:tc>
      </w:tr>
      <w:tr w:rsidR="00CA498F" w:rsidRPr="00B33DA4" w14:paraId="21A122CC" w14:textId="77777777" w:rsidTr="00CA498F">
        <w:trPr>
          <w:trHeight w:val="312"/>
        </w:trPr>
        <w:tc>
          <w:tcPr>
            <w:tcW w:w="9360" w:type="dxa"/>
            <w:tcBorders>
              <w:top w:val="nil"/>
              <w:left w:val="nil"/>
              <w:bottom w:val="nil"/>
              <w:right w:val="nil"/>
            </w:tcBorders>
            <w:noWrap/>
            <w:vAlign w:val="center"/>
            <w:hideMark/>
          </w:tcPr>
          <w:p w14:paraId="37430845"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Practice Improvement Quality | Children's Services</w:t>
            </w:r>
          </w:p>
        </w:tc>
      </w:tr>
      <w:tr w:rsidR="00CA498F" w:rsidRPr="00B33DA4" w14:paraId="261AFC99" w14:textId="77777777" w:rsidTr="00CA498F">
        <w:trPr>
          <w:trHeight w:val="312"/>
        </w:trPr>
        <w:tc>
          <w:tcPr>
            <w:tcW w:w="9360" w:type="dxa"/>
            <w:tcBorders>
              <w:top w:val="nil"/>
              <w:left w:val="nil"/>
              <w:bottom w:val="nil"/>
              <w:right w:val="nil"/>
            </w:tcBorders>
            <w:noWrap/>
            <w:vAlign w:val="center"/>
            <w:hideMark/>
          </w:tcPr>
          <w:p w14:paraId="3DC0BCE2"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 Corporate Services | Corporate, Community and Change</w:t>
            </w:r>
          </w:p>
        </w:tc>
      </w:tr>
      <w:tr w:rsidR="00CA498F" w:rsidRPr="00B33DA4" w14:paraId="21CE08D0" w14:textId="77777777" w:rsidTr="00CA498F">
        <w:trPr>
          <w:trHeight w:val="312"/>
        </w:trPr>
        <w:tc>
          <w:tcPr>
            <w:tcW w:w="9360" w:type="dxa"/>
            <w:tcBorders>
              <w:top w:val="nil"/>
              <w:left w:val="nil"/>
              <w:bottom w:val="nil"/>
              <w:right w:val="nil"/>
            </w:tcBorders>
            <w:noWrap/>
            <w:vAlign w:val="center"/>
            <w:hideMark/>
          </w:tcPr>
          <w:p w14:paraId="745952E5"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 Customer and Change | Corporate, Community and Change</w:t>
            </w:r>
          </w:p>
        </w:tc>
      </w:tr>
      <w:tr w:rsidR="00CA498F" w:rsidRPr="00B33DA4" w14:paraId="2008EB2A" w14:textId="77777777" w:rsidTr="00CA498F">
        <w:trPr>
          <w:trHeight w:val="312"/>
        </w:trPr>
        <w:tc>
          <w:tcPr>
            <w:tcW w:w="9360" w:type="dxa"/>
            <w:tcBorders>
              <w:top w:val="nil"/>
              <w:left w:val="nil"/>
              <w:bottom w:val="nil"/>
              <w:right w:val="nil"/>
            </w:tcBorders>
            <w:noWrap/>
            <w:vAlign w:val="center"/>
            <w:hideMark/>
          </w:tcPr>
          <w:p w14:paraId="7834E382"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 Head of Integrated Mental Health | Adult Social Care &amp; Health</w:t>
            </w:r>
          </w:p>
        </w:tc>
      </w:tr>
      <w:tr w:rsidR="00CA498F" w:rsidRPr="00B33DA4" w14:paraId="553FBB96" w14:textId="77777777" w:rsidTr="00CA498F">
        <w:trPr>
          <w:trHeight w:val="312"/>
        </w:trPr>
        <w:tc>
          <w:tcPr>
            <w:tcW w:w="9360" w:type="dxa"/>
            <w:tcBorders>
              <w:top w:val="nil"/>
              <w:left w:val="nil"/>
              <w:bottom w:val="nil"/>
              <w:right w:val="nil"/>
            </w:tcBorders>
            <w:noWrap/>
            <w:vAlign w:val="center"/>
            <w:hideMark/>
          </w:tcPr>
          <w:p w14:paraId="11326455"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Family Help and Safeguarding | Children's Services</w:t>
            </w:r>
          </w:p>
        </w:tc>
      </w:tr>
      <w:tr w:rsidR="00CA498F" w:rsidRPr="00B33DA4" w14:paraId="3993821E" w14:textId="77777777" w:rsidTr="00CA498F">
        <w:trPr>
          <w:trHeight w:val="312"/>
        </w:trPr>
        <w:tc>
          <w:tcPr>
            <w:tcW w:w="9360" w:type="dxa"/>
            <w:tcBorders>
              <w:top w:val="nil"/>
              <w:left w:val="nil"/>
              <w:bottom w:val="nil"/>
              <w:right w:val="nil"/>
            </w:tcBorders>
            <w:noWrap/>
            <w:vAlign w:val="center"/>
            <w:hideMark/>
          </w:tcPr>
          <w:p w14:paraId="090C57DE"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Strategy, Transformation and Commissioning | Children's Services</w:t>
            </w:r>
          </w:p>
        </w:tc>
      </w:tr>
      <w:tr w:rsidR="00CA498F" w:rsidRPr="00B33DA4" w14:paraId="1AC1CBD2" w14:textId="77777777" w:rsidTr="00CA498F">
        <w:trPr>
          <w:trHeight w:val="312"/>
        </w:trPr>
        <w:tc>
          <w:tcPr>
            <w:tcW w:w="9360" w:type="dxa"/>
            <w:tcBorders>
              <w:top w:val="nil"/>
              <w:left w:val="nil"/>
              <w:bottom w:val="nil"/>
              <w:right w:val="nil"/>
            </w:tcBorders>
            <w:noWrap/>
            <w:vAlign w:val="center"/>
            <w:hideMark/>
          </w:tcPr>
          <w:p w14:paraId="6AF381A7"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Highways and Transport | Place &amp; Growth</w:t>
            </w:r>
          </w:p>
        </w:tc>
      </w:tr>
      <w:tr w:rsidR="00CA498F" w:rsidRPr="00B33DA4" w14:paraId="156812CE" w14:textId="77777777" w:rsidTr="00CA498F">
        <w:trPr>
          <w:trHeight w:val="312"/>
        </w:trPr>
        <w:tc>
          <w:tcPr>
            <w:tcW w:w="9360" w:type="dxa"/>
            <w:tcBorders>
              <w:top w:val="nil"/>
              <w:left w:val="nil"/>
              <w:bottom w:val="nil"/>
              <w:right w:val="nil"/>
            </w:tcBorders>
            <w:noWrap/>
            <w:vAlign w:val="center"/>
            <w:hideMark/>
          </w:tcPr>
          <w:p w14:paraId="17B4FD5A"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Commercial Property | Resources &amp; Assets</w:t>
            </w:r>
          </w:p>
        </w:tc>
      </w:tr>
    </w:tbl>
    <w:p w14:paraId="495F25EF" w14:textId="767DC18A" w:rsidR="00CA498F" w:rsidRPr="00B33DA4" w:rsidRDefault="00CA498F" w:rsidP="00CA498F">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t xml:space="preserve">c) The total combined salary cost of all roles earning 100,000 pounds or more, for each of the last three complete financial years: </w:t>
      </w:r>
      <w:r w:rsidRPr="00B33DA4">
        <w:rPr>
          <w:rFonts w:ascii="Calibri" w:eastAsia="Times New Roman" w:hAnsi="Calibri" w:cs="Calibri"/>
          <w:kern w:val="0"/>
          <w:sz w:val="22"/>
          <w:szCs w:val="22"/>
          <w:lang w:eastAsia="en-GB"/>
          <w14:ligatures w14:val="none"/>
        </w:rPr>
        <w:t xml:space="preserve">As of start April each financial year, therefore does not account for </w:t>
      </w:r>
      <w:r w:rsidRPr="00B33DA4">
        <w:rPr>
          <w:rFonts w:ascii="Calibri" w:eastAsia="Times New Roman" w:hAnsi="Calibri" w:cs="Calibri"/>
          <w:kern w:val="0"/>
          <w:sz w:val="22"/>
          <w:szCs w:val="22"/>
          <w:lang w:eastAsia="en-GB"/>
          <w14:ligatures w14:val="none"/>
        </w:rPr>
        <w:lastRenderedPageBreak/>
        <w:t>any leavers in these periods – includes permanent, FTC, Seconded in, Apprentice posts; excludes agency, partner, casual, volunteer, student. Provided as at start of each financial year. *</w:t>
      </w:r>
      <w:proofErr w:type="gramStart"/>
      <w:r w:rsidRPr="00B33DA4">
        <w:rPr>
          <w:rFonts w:ascii="Calibri" w:eastAsia="Times New Roman" w:hAnsi="Calibri" w:cs="Calibri"/>
          <w:kern w:val="0"/>
          <w:sz w:val="22"/>
          <w:szCs w:val="22"/>
          <w:lang w:eastAsia="en-GB"/>
          <w14:ligatures w14:val="none"/>
        </w:rPr>
        <w:t>based</w:t>
      </w:r>
      <w:proofErr w:type="gramEnd"/>
      <w:r w:rsidRPr="00B33DA4">
        <w:rPr>
          <w:rFonts w:ascii="Calibri" w:eastAsia="Times New Roman" w:hAnsi="Calibri" w:cs="Calibri"/>
          <w:kern w:val="0"/>
          <w:sz w:val="22"/>
          <w:szCs w:val="22"/>
          <w:lang w:eastAsia="en-GB"/>
          <w14:ligatures w14:val="none"/>
        </w:rPr>
        <w:t xml:space="preserve"> on actual salary</w:t>
      </w:r>
    </w:p>
    <w:p w14:paraId="78C86376"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2023/24 – £680,701.00</w:t>
      </w:r>
    </w:p>
    <w:p w14:paraId="33407A80" w14:textId="0C294E14"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2024/25 – £</w:t>
      </w:r>
      <w:r w:rsidR="00B33DA4" w:rsidRPr="00B33DA4">
        <w:rPr>
          <w:rFonts w:ascii="Verdana" w:hAnsi="Verdana"/>
          <w:color w:val="000000"/>
          <w:sz w:val="17"/>
          <w:szCs w:val="17"/>
          <w:shd w:val="clear" w:color="auto" w:fill="FFFFFF"/>
        </w:rPr>
        <w:t xml:space="preserve"> </w:t>
      </w:r>
      <w:r w:rsidR="00B33DA4" w:rsidRPr="00B33DA4">
        <w:rPr>
          <w:rFonts w:ascii="Calibri" w:eastAsia="Times New Roman" w:hAnsi="Calibri" w:cs="Calibri"/>
          <w:kern w:val="0"/>
          <w:sz w:val="22"/>
          <w:szCs w:val="22"/>
          <w:lang w:eastAsia="en-GB"/>
          <w14:ligatures w14:val="none"/>
        </w:rPr>
        <w:t>864,095.00</w:t>
      </w:r>
    </w:p>
    <w:p w14:paraId="1FAD6191"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2025/26 – £1,636,791.50</w:t>
      </w:r>
    </w:p>
    <w:p w14:paraId="67134485" w14:textId="3BE8800B" w:rsidR="00CA498F" w:rsidRPr="00B33DA4" w:rsidRDefault="00CA498F" w:rsidP="00EA6F16">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t>d) The number of roles earning 100,000 pounds or more that have been created or newly filled in each of the last three complete financial years</w:t>
      </w:r>
      <w:r w:rsidR="00EA6F16">
        <w:rPr>
          <w:rFonts w:ascii="Calibri" w:hAnsi="Calibri" w:cs="Calibri"/>
          <w:b/>
          <w:bCs/>
          <w:sz w:val="22"/>
          <w:szCs w:val="22"/>
        </w:rPr>
        <w:t xml:space="preserve">: </w:t>
      </w:r>
      <w:r w:rsidRPr="00B33DA4">
        <w:rPr>
          <w:rFonts w:ascii="Calibri" w:eastAsia="Times New Roman" w:hAnsi="Calibri" w:cs="Calibri"/>
          <w:kern w:val="0"/>
          <w:sz w:val="22"/>
          <w:szCs w:val="22"/>
          <w:lang w:eastAsia="en-GB"/>
          <w14:ligatures w14:val="none"/>
        </w:rPr>
        <w:t xml:space="preserve">Includes permanent, FTC, </w:t>
      </w:r>
      <w:proofErr w:type="gramStart"/>
      <w:r w:rsidRPr="00B33DA4">
        <w:rPr>
          <w:rFonts w:ascii="Calibri" w:eastAsia="Times New Roman" w:hAnsi="Calibri" w:cs="Calibri"/>
          <w:kern w:val="0"/>
          <w:sz w:val="22"/>
          <w:szCs w:val="22"/>
          <w:lang w:eastAsia="en-GB"/>
          <w14:ligatures w14:val="none"/>
        </w:rPr>
        <w:t>Seconded</w:t>
      </w:r>
      <w:proofErr w:type="gramEnd"/>
      <w:r w:rsidRPr="00B33DA4">
        <w:rPr>
          <w:rFonts w:ascii="Calibri" w:eastAsia="Times New Roman" w:hAnsi="Calibri" w:cs="Calibri"/>
          <w:kern w:val="0"/>
          <w:sz w:val="22"/>
          <w:szCs w:val="22"/>
          <w:lang w:eastAsia="en-GB"/>
          <w14:ligatures w14:val="none"/>
        </w:rPr>
        <w:t xml:space="preserve"> in, </w:t>
      </w:r>
      <w:proofErr w:type="gramStart"/>
      <w:r w:rsidRPr="00B33DA4">
        <w:rPr>
          <w:rFonts w:ascii="Calibri" w:eastAsia="Times New Roman" w:hAnsi="Calibri" w:cs="Calibri"/>
          <w:kern w:val="0"/>
          <w:sz w:val="22"/>
          <w:szCs w:val="22"/>
          <w:lang w:eastAsia="en-GB"/>
          <w14:ligatures w14:val="none"/>
        </w:rPr>
        <w:t>Apprentice</w:t>
      </w:r>
      <w:proofErr w:type="gramEnd"/>
      <w:r w:rsidRPr="00B33DA4">
        <w:rPr>
          <w:rFonts w:ascii="Calibri" w:eastAsia="Times New Roman" w:hAnsi="Calibri" w:cs="Calibri"/>
          <w:kern w:val="0"/>
          <w:sz w:val="22"/>
          <w:szCs w:val="22"/>
          <w:lang w:eastAsia="en-GB"/>
          <w14:ligatures w14:val="none"/>
        </w:rPr>
        <w:t xml:space="preserve"> posts; excludes agency, partner, casual, volunteer, student.</w:t>
      </w:r>
    </w:p>
    <w:p w14:paraId="47B18322"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2023/24 – 2</w:t>
      </w:r>
    </w:p>
    <w:p w14:paraId="1AEFD3ED"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2024/25 – 0</w:t>
      </w:r>
    </w:p>
    <w:p w14:paraId="28DED69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2025/26 – 2</w:t>
      </w:r>
    </w:p>
    <w:p w14:paraId="61B23055" w14:textId="4B229B4A" w:rsidR="00CA498F" w:rsidRPr="00B33DA4" w:rsidRDefault="00CA498F" w:rsidP="00CA498F">
      <w:pPr>
        <w:rPr>
          <w:rFonts w:ascii="Calibri" w:hAnsi="Calibri" w:cs="Calibri"/>
          <w:b/>
          <w:bCs/>
          <w:sz w:val="22"/>
          <w:szCs w:val="22"/>
        </w:rPr>
      </w:pPr>
      <w:r w:rsidRPr="00B33DA4">
        <w:rPr>
          <w:rFonts w:ascii="Calibri" w:hAnsi="Calibri" w:cs="Calibri"/>
          <w:b/>
          <w:bCs/>
          <w:sz w:val="22"/>
          <w:szCs w:val="22"/>
        </w:rPr>
        <w:br/>
        <w:t>SECTION 7: EMPLOYER PENSION CONTRIBUTIONS ON HIGH-EARNING ROLES</w:t>
      </w:r>
      <w:r w:rsidRPr="00B33DA4">
        <w:rPr>
          <w:rFonts w:ascii="Calibri" w:hAnsi="Calibri" w:cs="Calibri"/>
          <w:b/>
          <w:bCs/>
          <w:sz w:val="22"/>
          <w:szCs w:val="22"/>
        </w:rPr>
        <w:br/>
        <w:t>a) The total employer pension contributions paid in respect of all employees earning 100,000 pounds or more per annum, for each of the last three complete financial years.</w:t>
      </w:r>
    </w:p>
    <w:p w14:paraId="254BC7D7"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25/</w:t>
      </w:r>
      <w:proofErr w:type="gramStart"/>
      <w:r w:rsidRPr="00B33DA4">
        <w:rPr>
          <w:rFonts w:ascii="Calibri" w:eastAsia="Times New Roman" w:hAnsi="Calibri" w:cs="Calibri"/>
          <w:kern w:val="0"/>
          <w:sz w:val="22"/>
          <w:szCs w:val="22"/>
          <w:lang w:eastAsia="en-GB"/>
          <w14:ligatures w14:val="none"/>
        </w:rPr>
        <w:t>26  £</w:t>
      </w:r>
      <w:proofErr w:type="gramEnd"/>
      <w:r w:rsidRPr="00B33DA4">
        <w:rPr>
          <w:rFonts w:ascii="Calibri" w:eastAsia="Times New Roman" w:hAnsi="Calibri" w:cs="Calibri"/>
          <w:kern w:val="0"/>
          <w:sz w:val="22"/>
          <w:szCs w:val="22"/>
          <w:lang w:eastAsia="en-GB"/>
          <w14:ligatures w14:val="none"/>
        </w:rPr>
        <w:t>417,733.89</w:t>
      </w:r>
    </w:p>
    <w:p w14:paraId="7C68070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24/</w:t>
      </w:r>
      <w:proofErr w:type="gramStart"/>
      <w:r w:rsidRPr="00B33DA4">
        <w:rPr>
          <w:rFonts w:ascii="Calibri" w:eastAsia="Times New Roman" w:hAnsi="Calibri" w:cs="Calibri"/>
          <w:kern w:val="0"/>
          <w:sz w:val="22"/>
          <w:szCs w:val="22"/>
          <w:lang w:eastAsia="en-GB"/>
          <w14:ligatures w14:val="none"/>
        </w:rPr>
        <w:t>25  £</w:t>
      </w:r>
      <w:proofErr w:type="gramEnd"/>
      <w:r w:rsidRPr="00B33DA4">
        <w:rPr>
          <w:rFonts w:ascii="Calibri" w:eastAsia="Times New Roman" w:hAnsi="Calibri" w:cs="Calibri"/>
          <w:kern w:val="0"/>
          <w:sz w:val="22"/>
          <w:szCs w:val="22"/>
          <w:lang w:eastAsia="en-GB"/>
          <w14:ligatures w14:val="none"/>
        </w:rPr>
        <w:t>331,628.24</w:t>
      </w:r>
    </w:p>
    <w:p w14:paraId="1274E5A7"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23/</w:t>
      </w:r>
      <w:proofErr w:type="gramStart"/>
      <w:r w:rsidRPr="00B33DA4">
        <w:rPr>
          <w:rFonts w:ascii="Calibri" w:eastAsia="Times New Roman" w:hAnsi="Calibri" w:cs="Calibri"/>
          <w:kern w:val="0"/>
          <w:sz w:val="22"/>
          <w:szCs w:val="22"/>
          <w:lang w:eastAsia="en-GB"/>
          <w14:ligatures w14:val="none"/>
        </w:rPr>
        <w:t>24  £</w:t>
      </w:r>
      <w:proofErr w:type="gramEnd"/>
      <w:r w:rsidRPr="00B33DA4">
        <w:rPr>
          <w:rFonts w:ascii="Calibri" w:eastAsia="Times New Roman" w:hAnsi="Calibri" w:cs="Calibri"/>
          <w:kern w:val="0"/>
          <w:sz w:val="22"/>
          <w:szCs w:val="22"/>
          <w:lang w:eastAsia="en-GB"/>
          <w14:ligatures w14:val="none"/>
        </w:rPr>
        <w:t>296,126.81</w:t>
      </w:r>
    </w:p>
    <w:p w14:paraId="6F066140" w14:textId="299AF915" w:rsidR="00CA498F" w:rsidRPr="00B33DA4" w:rsidRDefault="00CA498F" w:rsidP="00CA498F">
      <w:pPr>
        <w:rPr>
          <w:rFonts w:ascii="Calibri" w:hAnsi="Calibri" w:cs="Calibri"/>
          <w:b/>
          <w:bCs/>
          <w:sz w:val="22"/>
          <w:szCs w:val="22"/>
        </w:rPr>
      </w:pPr>
      <w:r w:rsidRPr="00B33DA4">
        <w:rPr>
          <w:rFonts w:ascii="Calibri" w:hAnsi="Calibri" w:cs="Calibri"/>
          <w:b/>
          <w:bCs/>
          <w:sz w:val="22"/>
          <w:szCs w:val="22"/>
        </w:rPr>
        <w:t>b) The employer pension contribution rate applied to these roles</w:t>
      </w:r>
    </w:p>
    <w:p w14:paraId="1A182B4E"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25/26 – Rate 23.20%</w:t>
      </w:r>
    </w:p>
    <w:p w14:paraId="4F3B979D"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24/25 – Rate 23.20%</w:t>
      </w:r>
    </w:p>
    <w:p w14:paraId="6E9226B0"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23/24 – Rate 23.80%</w:t>
      </w:r>
    </w:p>
    <w:p w14:paraId="03A3EF1D" w14:textId="76285268" w:rsidR="00CA498F" w:rsidRPr="00B33DA4" w:rsidRDefault="00CA498F" w:rsidP="00EA6F16">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br/>
        <w:t>SECTION 8: INTERIM, AGENCY AND CONTRACTED SENIOR APPOINTMENTS</w:t>
      </w:r>
      <w:r w:rsidRPr="00B33DA4">
        <w:rPr>
          <w:rFonts w:ascii="Calibri" w:hAnsi="Calibri" w:cs="Calibri"/>
          <w:b/>
          <w:bCs/>
          <w:sz w:val="22"/>
          <w:szCs w:val="22"/>
        </w:rPr>
        <w:br/>
        <w:t>This section concerns individuals engaged to perform senior management or director level functions who are not directly employed by the council, including those engaged through personal service companies, staffing agencies, or other intermediary arrangements.</w:t>
      </w:r>
      <w:r w:rsidRPr="00B33DA4">
        <w:rPr>
          <w:rFonts w:ascii="Calibri" w:hAnsi="Calibri" w:cs="Calibri"/>
          <w:b/>
          <w:bCs/>
          <w:sz w:val="22"/>
          <w:szCs w:val="22"/>
        </w:rPr>
        <w:br/>
        <w:t>a) The total number of interim, agency, or contracted individuals performing director level or senior management functions at any point during each of the last three complete financial years</w:t>
      </w:r>
      <w:r w:rsidR="00EA6F16">
        <w:rPr>
          <w:rFonts w:ascii="Calibri" w:hAnsi="Calibri" w:cs="Calibri"/>
          <w:b/>
          <w:bCs/>
          <w:sz w:val="22"/>
          <w:szCs w:val="22"/>
        </w:rPr>
        <w:t xml:space="preserve">: </w:t>
      </w:r>
      <w:r w:rsidRPr="00B33DA4">
        <w:rPr>
          <w:rFonts w:ascii="Calibri" w:eastAsia="Times New Roman" w:hAnsi="Calibri" w:cs="Calibri"/>
          <w:kern w:val="0"/>
          <w:sz w:val="22"/>
          <w:szCs w:val="22"/>
          <w:lang w:eastAsia="en-GB"/>
          <w14:ligatures w14:val="none"/>
        </w:rPr>
        <w:t>The following number of agency workers were engaged via our Managed Service Provider contract with Matrix SCM for the last three financial years. Please note, within these figures there are some individuals who have worked across more than one financial year.</w:t>
      </w:r>
    </w:p>
    <w:tbl>
      <w:tblPr>
        <w:tblW w:w="1680" w:type="dxa"/>
        <w:tblLook w:val="04A0" w:firstRow="1" w:lastRow="0" w:firstColumn="1" w:lastColumn="0" w:noHBand="0" w:noVBand="1"/>
      </w:tblPr>
      <w:tblGrid>
        <w:gridCol w:w="1680"/>
      </w:tblGrid>
      <w:tr w:rsidR="00CA498F" w:rsidRPr="00B33DA4" w14:paraId="438A58F0" w14:textId="77777777" w:rsidTr="00CA498F">
        <w:trPr>
          <w:trHeight w:val="312"/>
        </w:trPr>
        <w:tc>
          <w:tcPr>
            <w:tcW w:w="1680" w:type="dxa"/>
            <w:tcBorders>
              <w:top w:val="nil"/>
              <w:left w:val="nil"/>
              <w:bottom w:val="nil"/>
              <w:right w:val="nil"/>
            </w:tcBorders>
            <w:noWrap/>
            <w:vAlign w:val="center"/>
            <w:hideMark/>
          </w:tcPr>
          <w:p w14:paraId="4640EB29"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2023/24 – 5</w:t>
            </w:r>
          </w:p>
        </w:tc>
      </w:tr>
      <w:tr w:rsidR="00CA498F" w:rsidRPr="00B33DA4" w14:paraId="0E55787C" w14:textId="77777777" w:rsidTr="00CA498F">
        <w:trPr>
          <w:trHeight w:val="312"/>
        </w:trPr>
        <w:tc>
          <w:tcPr>
            <w:tcW w:w="1680" w:type="dxa"/>
            <w:tcBorders>
              <w:top w:val="nil"/>
              <w:left w:val="nil"/>
              <w:bottom w:val="nil"/>
              <w:right w:val="nil"/>
            </w:tcBorders>
            <w:noWrap/>
            <w:vAlign w:val="center"/>
            <w:hideMark/>
          </w:tcPr>
          <w:p w14:paraId="2D82CF3F"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2024/25 – 9</w:t>
            </w:r>
          </w:p>
        </w:tc>
      </w:tr>
      <w:tr w:rsidR="00CA498F" w:rsidRPr="00B33DA4" w14:paraId="7D4BA190" w14:textId="77777777" w:rsidTr="00CA498F">
        <w:trPr>
          <w:trHeight w:val="312"/>
        </w:trPr>
        <w:tc>
          <w:tcPr>
            <w:tcW w:w="1680" w:type="dxa"/>
            <w:tcBorders>
              <w:top w:val="nil"/>
              <w:left w:val="nil"/>
              <w:bottom w:val="nil"/>
              <w:right w:val="nil"/>
            </w:tcBorders>
            <w:noWrap/>
            <w:vAlign w:val="center"/>
            <w:hideMark/>
          </w:tcPr>
          <w:p w14:paraId="7FFBE34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2025/26 - 14</w:t>
            </w:r>
          </w:p>
        </w:tc>
      </w:tr>
    </w:tbl>
    <w:p w14:paraId="71BD5E68" w14:textId="18D76F3A" w:rsidR="00CA498F" w:rsidRPr="00B33DA4" w:rsidRDefault="00CA498F" w:rsidP="00CA498F">
      <w:pPr>
        <w:rPr>
          <w:rFonts w:ascii="Calibri" w:hAnsi="Calibri" w:cs="Calibri"/>
          <w:b/>
          <w:bCs/>
          <w:sz w:val="22"/>
          <w:szCs w:val="22"/>
        </w:rPr>
      </w:pPr>
      <w:r w:rsidRPr="00B33DA4">
        <w:rPr>
          <w:rFonts w:ascii="Calibri" w:hAnsi="Calibri" w:cs="Calibri"/>
          <w:b/>
          <w:bCs/>
          <w:sz w:val="22"/>
          <w:szCs w:val="22"/>
        </w:rPr>
        <w:t>b) For each such engagement: the job title or function performed, the daily or hourly rate paid, the duration of the engagement, and the total cost to the public purse.</w:t>
      </w:r>
    </w:p>
    <w:tbl>
      <w:tblPr>
        <w:tblW w:w="8018" w:type="dxa"/>
        <w:tblLook w:val="04A0" w:firstRow="1" w:lastRow="0" w:firstColumn="1" w:lastColumn="0" w:noHBand="0" w:noVBand="1"/>
      </w:tblPr>
      <w:tblGrid>
        <w:gridCol w:w="8018"/>
      </w:tblGrid>
      <w:tr w:rsidR="00CA498F" w:rsidRPr="00B33DA4" w14:paraId="34BE7E02" w14:textId="77777777" w:rsidTr="00CA498F">
        <w:trPr>
          <w:trHeight w:val="312"/>
        </w:trPr>
        <w:tc>
          <w:tcPr>
            <w:tcW w:w="8018" w:type="dxa"/>
            <w:tcBorders>
              <w:top w:val="nil"/>
              <w:left w:val="nil"/>
              <w:bottom w:val="nil"/>
              <w:right w:val="nil"/>
            </w:tcBorders>
            <w:noWrap/>
            <w:vAlign w:val="center"/>
            <w:hideMark/>
          </w:tcPr>
          <w:p w14:paraId="6EC91F31"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Interim Director – Place &amp; Growth, £1000.00, 6 weeks, £2203.72</w:t>
            </w:r>
          </w:p>
        </w:tc>
      </w:tr>
      <w:tr w:rsidR="00CA498F" w:rsidRPr="00B33DA4" w14:paraId="6E38E9F8" w14:textId="77777777" w:rsidTr="00CA498F">
        <w:trPr>
          <w:trHeight w:val="312"/>
        </w:trPr>
        <w:tc>
          <w:tcPr>
            <w:tcW w:w="8018" w:type="dxa"/>
            <w:tcBorders>
              <w:top w:val="nil"/>
              <w:left w:val="nil"/>
              <w:bottom w:val="nil"/>
              <w:right w:val="nil"/>
            </w:tcBorders>
            <w:noWrap/>
            <w:vAlign w:val="center"/>
            <w:hideMark/>
          </w:tcPr>
          <w:p w14:paraId="0AF4D916"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Strategic Lead, Strategy &amp; Commissioning (Adults), £700.00, 28 weeks, £90024.76</w:t>
            </w:r>
          </w:p>
        </w:tc>
      </w:tr>
      <w:tr w:rsidR="00CA498F" w:rsidRPr="00B33DA4" w14:paraId="53C8ADC9" w14:textId="77777777" w:rsidTr="00CA498F">
        <w:trPr>
          <w:trHeight w:val="312"/>
        </w:trPr>
        <w:tc>
          <w:tcPr>
            <w:tcW w:w="8018" w:type="dxa"/>
            <w:tcBorders>
              <w:top w:val="nil"/>
              <w:left w:val="nil"/>
              <w:bottom w:val="nil"/>
              <w:right w:val="nil"/>
            </w:tcBorders>
            <w:noWrap/>
            <w:vAlign w:val="center"/>
            <w:hideMark/>
          </w:tcPr>
          <w:p w14:paraId="1874CC27"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Strategic Lead, Strategy &amp; Commissioning (Adults</w:t>
            </w:r>
            <w:proofErr w:type="gramStart"/>
            <w:r w:rsidRPr="00B33DA4">
              <w:rPr>
                <w:rFonts w:ascii="Calibri" w:eastAsia="Times New Roman" w:hAnsi="Calibri" w:cs="Calibri"/>
                <w:kern w:val="0"/>
                <w:sz w:val="22"/>
                <w:szCs w:val="22"/>
                <w:lang w:eastAsia="en-GB"/>
                <w14:ligatures w14:val="none"/>
              </w:rPr>
              <w:t>) ,</w:t>
            </w:r>
            <w:proofErr w:type="gramEnd"/>
            <w:r w:rsidRPr="00B33DA4">
              <w:rPr>
                <w:rFonts w:ascii="Calibri" w:eastAsia="Times New Roman" w:hAnsi="Calibri" w:cs="Calibri"/>
                <w:kern w:val="0"/>
                <w:sz w:val="22"/>
                <w:szCs w:val="22"/>
                <w:lang w:eastAsia="en-GB"/>
                <w14:ligatures w14:val="none"/>
              </w:rPr>
              <w:t xml:space="preserve"> £615.68, 79 weeks, £237353.99</w:t>
            </w:r>
          </w:p>
        </w:tc>
      </w:tr>
      <w:tr w:rsidR="00CA498F" w:rsidRPr="00B33DA4" w14:paraId="61CDE975" w14:textId="77777777" w:rsidTr="00CA498F">
        <w:trPr>
          <w:trHeight w:val="312"/>
        </w:trPr>
        <w:tc>
          <w:tcPr>
            <w:tcW w:w="8018" w:type="dxa"/>
            <w:tcBorders>
              <w:top w:val="nil"/>
              <w:left w:val="nil"/>
              <w:bottom w:val="nil"/>
              <w:right w:val="nil"/>
            </w:tcBorders>
            <w:noWrap/>
            <w:vAlign w:val="center"/>
            <w:hideMark/>
          </w:tcPr>
          <w:p w14:paraId="54BFEC02"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Director (Housing</w:t>
            </w:r>
            <w:proofErr w:type="gramStart"/>
            <w:r w:rsidRPr="00B33DA4">
              <w:rPr>
                <w:rFonts w:ascii="Calibri" w:eastAsia="Times New Roman" w:hAnsi="Calibri" w:cs="Calibri"/>
                <w:kern w:val="0"/>
                <w:sz w:val="22"/>
                <w:szCs w:val="22"/>
                <w:lang w:eastAsia="en-GB"/>
                <w14:ligatures w14:val="none"/>
              </w:rPr>
              <w:t>) ,</w:t>
            </w:r>
            <w:proofErr w:type="gramEnd"/>
            <w:r w:rsidRPr="00B33DA4">
              <w:rPr>
                <w:rFonts w:ascii="Calibri" w:eastAsia="Times New Roman" w:hAnsi="Calibri" w:cs="Calibri"/>
                <w:kern w:val="0"/>
                <w:sz w:val="22"/>
                <w:szCs w:val="22"/>
                <w:lang w:eastAsia="en-GB"/>
                <w14:ligatures w14:val="none"/>
              </w:rPr>
              <w:t xml:space="preserve"> £800.00, 13 weeks, £27740.90</w:t>
            </w:r>
          </w:p>
        </w:tc>
      </w:tr>
      <w:tr w:rsidR="00CA498F" w:rsidRPr="00B33DA4" w14:paraId="213D8BAA" w14:textId="77777777" w:rsidTr="00CA498F">
        <w:trPr>
          <w:trHeight w:val="312"/>
        </w:trPr>
        <w:tc>
          <w:tcPr>
            <w:tcW w:w="8018" w:type="dxa"/>
            <w:tcBorders>
              <w:top w:val="nil"/>
              <w:left w:val="nil"/>
              <w:bottom w:val="nil"/>
              <w:right w:val="nil"/>
            </w:tcBorders>
            <w:noWrap/>
            <w:vAlign w:val="center"/>
            <w:hideMark/>
          </w:tcPr>
          <w:p w14:paraId="33821A73"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Housing Delivery &amp; Partnerships, £700.00, 9 weeks, £14665.15</w:t>
            </w:r>
          </w:p>
        </w:tc>
      </w:tr>
      <w:tr w:rsidR="00CA498F" w:rsidRPr="00B33DA4" w14:paraId="64000406" w14:textId="77777777" w:rsidTr="00CA498F">
        <w:trPr>
          <w:trHeight w:val="312"/>
        </w:trPr>
        <w:tc>
          <w:tcPr>
            <w:tcW w:w="8018" w:type="dxa"/>
            <w:tcBorders>
              <w:top w:val="nil"/>
              <w:left w:val="nil"/>
              <w:bottom w:val="nil"/>
              <w:right w:val="nil"/>
            </w:tcBorders>
            <w:noWrap/>
            <w:vAlign w:val="center"/>
            <w:hideMark/>
          </w:tcPr>
          <w:p w14:paraId="5123C316" w14:textId="09AC4C63"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lastRenderedPageBreak/>
              <w:t>Strategic Lead, Strategy &amp; Commissioning (Adults), £600.00, 18 weeks, £48289.88</w:t>
            </w:r>
          </w:p>
        </w:tc>
      </w:tr>
      <w:tr w:rsidR="00CA498F" w:rsidRPr="00B33DA4" w14:paraId="7DCE069D" w14:textId="77777777" w:rsidTr="00CA498F">
        <w:trPr>
          <w:trHeight w:val="312"/>
        </w:trPr>
        <w:tc>
          <w:tcPr>
            <w:tcW w:w="8018" w:type="dxa"/>
            <w:tcBorders>
              <w:top w:val="nil"/>
              <w:left w:val="nil"/>
              <w:bottom w:val="nil"/>
              <w:right w:val="nil"/>
            </w:tcBorders>
            <w:noWrap/>
            <w:vAlign w:val="center"/>
            <w:hideMark/>
          </w:tcPr>
          <w:p w14:paraId="6FA73CA2"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Housing Operations (Project), £700.00, 8 weeks, £10034.18</w:t>
            </w:r>
          </w:p>
        </w:tc>
      </w:tr>
      <w:tr w:rsidR="00CA498F" w:rsidRPr="00B33DA4" w14:paraId="3C7F0EF6" w14:textId="77777777" w:rsidTr="00CA498F">
        <w:trPr>
          <w:trHeight w:val="312"/>
        </w:trPr>
        <w:tc>
          <w:tcPr>
            <w:tcW w:w="8018" w:type="dxa"/>
            <w:tcBorders>
              <w:top w:val="nil"/>
              <w:left w:val="nil"/>
              <w:bottom w:val="nil"/>
              <w:right w:val="nil"/>
            </w:tcBorders>
            <w:noWrap/>
            <w:vAlign w:val="center"/>
            <w:hideMark/>
          </w:tcPr>
          <w:p w14:paraId="63E0A74D"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Manager – Asset Management, £550.00, 14 weeks, £18205.50</w:t>
            </w:r>
          </w:p>
        </w:tc>
      </w:tr>
      <w:tr w:rsidR="00CA498F" w:rsidRPr="00B33DA4" w14:paraId="1D4391F8" w14:textId="77777777" w:rsidTr="00CA498F">
        <w:trPr>
          <w:trHeight w:val="312"/>
        </w:trPr>
        <w:tc>
          <w:tcPr>
            <w:tcW w:w="8018" w:type="dxa"/>
            <w:tcBorders>
              <w:top w:val="nil"/>
              <w:left w:val="nil"/>
              <w:bottom w:val="nil"/>
              <w:right w:val="nil"/>
            </w:tcBorders>
            <w:noWrap/>
            <w:vAlign w:val="center"/>
            <w:hideMark/>
          </w:tcPr>
          <w:p w14:paraId="716DD2F9"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Health and Social Care Integration, £513.07, 24 weeks, £64550.22</w:t>
            </w:r>
          </w:p>
        </w:tc>
      </w:tr>
      <w:tr w:rsidR="00CA498F" w:rsidRPr="00B33DA4" w14:paraId="7249A51E" w14:textId="77777777" w:rsidTr="00CA498F">
        <w:trPr>
          <w:trHeight w:val="312"/>
        </w:trPr>
        <w:tc>
          <w:tcPr>
            <w:tcW w:w="8018" w:type="dxa"/>
            <w:tcBorders>
              <w:top w:val="nil"/>
              <w:left w:val="nil"/>
              <w:bottom w:val="nil"/>
              <w:right w:val="nil"/>
            </w:tcBorders>
            <w:noWrap/>
            <w:vAlign w:val="center"/>
            <w:hideMark/>
          </w:tcPr>
          <w:p w14:paraId="4443A625"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Interim Director of Public Health, £800.00, 18 weeks, £62755.20</w:t>
            </w:r>
          </w:p>
        </w:tc>
      </w:tr>
      <w:tr w:rsidR="00CA498F" w:rsidRPr="00B33DA4" w14:paraId="3BCA4B25" w14:textId="77777777" w:rsidTr="00CA498F">
        <w:trPr>
          <w:trHeight w:val="312"/>
        </w:trPr>
        <w:tc>
          <w:tcPr>
            <w:tcW w:w="8018" w:type="dxa"/>
            <w:tcBorders>
              <w:top w:val="nil"/>
              <w:left w:val="nil"/>
              <w:bottom w:val="nil"/>
              <w:right w:val="nil"/>
            </w:tcBorders>
            <w:noWrap/>
            <w:vAlign w:val="center"/>
            <w:hideMark/>
          </w:tcPr>
          <w:p w14:paraId="0E505B46"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Transitions &amp; Complex Care, £700.00, 39 weeks, £103613.77</w:t>
            </w:r>
          </w:p>
        </w:tc>
      </w:tr>
      <w:tr w:rsidR="00CA498F" w:rsidRPr="00B33DA4" w14:paraId="6C290DA1" w14:textId="77777777" w:rsidTr="00CA498F">
        <w:trPr>
          <w:trHeight w:val="312"/>
        </w:trPr>
        <w:tc>
          <w:tcPr>
            <w:tcW w:w="8018" w:type="dxa"/>
            <w:tcBorders>
              <w:top w:val="nil"/>
              <w:left w:val="nil"/>
              <w:bottom w:val="nil"/>
              <w:right w:val="nil"/>
            </w:tcBorders>
            <w:noWrap/>
            <w:vAlign w:val="center"/>
            <w:hideMark/>
          </w:tcPr>
          <w:p w14:paraId="5AB1A58E"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Interim Director of Public Health, £1050.00, 41 weeks, £194691.78</w:t>
            </w:r>
          </w:p>
        </w:tc>
      </w:tr>
      <w:tr w:rsidR="00CA498F" w:rsidRPr="00B33DA4" w14:paraId="6367049A" w14:textId="77777777" w:rsidTr="00CA498F">
        <w:trPr>
          <w:trHeight w:val="312"/>
        </w:trPr>
        <w:tc>
          <w:tcPr>
            <w:tcW w:w="8018" w:type="dxa"/>
            <w:tcBorders>
              <w:top w:val="nil"/>
              <w:left w:val="nil"/>
              <w:bottom w:val="nil"/>
              <w:right w:val="nil"/>
            </w:tcBorders>
            <w:noWrap/>
            <w:vAlign w:val="center"/>
            <w:hideMark/>
          </w:tcPr>
          <w:p w14:paraId="7DFCB98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Housing Delivery &amp; Partnerships, £700.00, 6 weeks, £13121.45</w:t>
            </w:r>
          </w:p>
        </w:tc>
      </w:tr>
      <w:tr w:rsidR="00CA498F" w:rsidRPr="00B33DA4" w14:paraId="64C010B8" w14:textId="77777777" w:rsidTr="00CA498F">
        <w:trPr>
          <w:trHeight w:val="312"/>
        </w:trPr>
        <w:tc>
          <w:tcPr>
            <w:tcW w:w="8018" w:type="dxa"/>
            <w:tcBorders>
              <w:top w:val="nil"/>
              <w:left w:val="nil"/>
              <w:bottom w:val="nil"/>
              <w:right w:val="nil"/>
            </w:tcBorders>
            <w:noWrap/>
            <w:vAlign w:val="center"/>
            <w:hideMark/>
          </w:tcPr>
          <w:p w14:paraId="02287293"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Health and Social Care Integration, £541.68, 38 weeks, £77002.92</w:t>
            </w:r>
          </w:p>
        </w:tc>
      </w:tr>
      <w:tr w:rsidR="00CA498F" w:rsidRPr="00B33DA4" w14:paraId="54CD70F3" w14:textId="77777777" w:rsidTr="00CA498F">
        <w:trPr>
          <w:trHeight w:val="312"/>
        </w:trPr>
        <w:tc>
          <w:tcPr>
            <w:tcW w:w="8018" w:type="dxa"/>
            <w:tcBorders>
              <w:top w:val="nil"/>
              <w:left w:val="nil"/>
              <w:bottom w:val="nil"/>
              <w:right w:val="nil"/>
            </w:tcBorders>
            <w:noWrap/>
            <w:vAlign w:val="center"/>
            <w:hideMark/>
          </w:tcPr>
          <w:p w14:paraId="374E6034"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Housing Regulation &amp; Improvement, £750.00, 34 weeks, £115513.95</w:t>
            </w:r>
          </w:p>
        </w:tc>
      </w:tr>
      <w:tr w:rsidR="00CA498F" w:rsidRPr="00B33DA4" w14:paraId="1C179F91" w14:textId="77777777" w:rsidTr="00CA498F">
        <w:trPr>
          <w:trHeight w:val="312"/>
        </w:trPr>
        <w:tc>
          <w:tcPr>
            <w:tcW w:w="8018" w:type="dxa"/>
            <w:tcBorders>
              <w:top w:val="nil"/>
              <w:left w:val="nil"/>
              <w:bottom w:val="nil"/>
              <w:right w:val="nil"/>
            </w:tcBorders>
            <w:noWrap/>
            <w:vAlign w:val="center"/>
            <w:hideMark/>
          </w:tcPr>
          <w:p w14:paraId="6872EDBF"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Service Manager – Asset Management, £550.00, 18 weeks, £35526.80</w:t>
            </w:r>
          </w:p>
        </w:tc>
      </w:tr>
      <w:tr w:rsidR="00CA498F" w:rsidRPr="00B33DA4" w14:paraId="3386CEF4" w14:textId="77777777" w:rsidTr="00CA498F">
        <w:trPr>
          <w:trHeight w:val="312"/>
        </w:trPr>
        <w:tc>
          <w:tcPr>
            <w:tcW w:w="8018" w:type="dxa"/>
            <w:tcBorders>
              <w:top w:val="nil"/>
              <w:left w:val="nil"/>
              <w:bottom w:val="nil"/>
              <w:right w:val="nil"/>
            </w:tcBorders>
            <w:noWrap/>
            <w:vAlign w:val="center"/>
            <w:hideMark/>
          </w:tcPr>
          <w:p w14:paraId="515135B9" w14:textId="31FB3806"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Programme Director (Devolution), £1000.00, 30 weeks, £116797.16</w:t>
            </w:r>
          </w:p>
        </w:tc>
      </w:tr>
      <w:tr w:rsidR="00CA498F" w:rsidRPr="00B33DA4" w14:paraId="7B7DC5BA" w14:textId="77777777" w:rsidTr="00CA498F">
        <w:trPr>
          <w:trHeight w:val="312"/>
        </w:trPr>
        <w:tc>
          <w:tcPr>
            <w:tcW w:w="8018" w:type="dxa"/>
            <w:tcBorders>
              <w:top w:val="nil"/>
              <w:left w:val="nil"/>
              <w:bottom w:val="nil"/>
              <w:right w:val="nil"/>
            </w:tcBorders>
            <w:noWrap/>
            <w:vAlign w:val="center"/>
            <w:hideMark/>
          </w:tcPr>
          <w:p w14:paraId="55BE2AD3"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Head of Housing Operations, £750.00, 38 weeks, £66970.24</w:t>
            </w:r>
          </w:p>
        </w:tc>
      </w:tr>
      <w:tr w:rsidR="00CA498F" w:rsidRPr="00B33DA4" w14:paraId="557F0B67" w14:textId="77777777" w:rsidTr="00CA498F">
        <w:trPr>
          <w:trHeight w:val="312"/>
        </w:trPr>
        <w:tc>
          <w:tcPr>
            <w:tcW w:w="8018" w:type="dxa"/>
            <w:tcBorders>
              <w:top w:val="nil"/>
              <w:left w:val="nil"/>
              <w:bottom w:val="nil"/>
              <w:right w:val="nil"/>
            </w:tcBorders>
            <w:noWrap/>
            <w:vAlign w:val="center"/>
            <w:hideMark/>
          </w:tcPr>
          <w:p w14:paraId="2317720C"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Assistant Director of Environment &amp; Safety, £750.01, 100 weeks, £397222.59</w:t>
            </w:r>
          </w:p>
        </w:tc>
      </w:tr>
      <w:tr w:rsidR="00CA498F" w:rsidRPr="00B33DA4" w14:paraId="490072EA" w14:textId="77777777" w:rsidTr="00CA498F">
        <w:trPr>
          <w:trHeight w:val="312"/>
        </w:trPr>
        <w:tc>
          <w:tcPr>
            <w:tcW w:w="8018" w:type="dxa"/>
            <w:tcBorders>
              <w:top w:val="nil"/>
              <w:left w:val="nil"/>
              <w:bottom w:val="nil"/>
              <w:right w:val="nil"/>
            </w:tcBorders>
            <w:noWrap/>
            <w:vAlign w:val="center"/>
            <w:hideMark/>
          </w:tcPr>
          <w:p w14:paraId="05E54E7B"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Assistant Director of Integrated Mental Health, £650.00, 63 weeks, £218148.60</w:t>
            </w:r>
          </w:p>
        </w:tc>
      </w:tr>
    </w:tbl>
    <w:p w14:paraId="15A1611C" w14:textId="228CE8EC" w:rsidR="00CA498F" w:rsidRPr="00B33DA4" w:rsidRDefault="00CA498F" w:rsidP="00CA498F">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t xml:space="preserve">c) The total combined spend on interim, agency, and contracted senior management in each of the last three complete financial years: </w:t>
      </w:r>
      <w:r w:rsidRPr="00B33DA4">
        <w:rPr>
          <w:rFonts w:ascii="Calibri" w:hAnsi="Calibri" w:cs="Calibri"/>
          <w:sz w:val="22"/>
          <w:szCs w:val="22"/>
        </w:rPr>
        <w:t>The total combined spend for the financial years 2023/24, 2024/25 and 2025/26 for the assignments identified in Q8b above is £1,914.432.76.</w:t>
      </w:r>
      <w:r w:rsidRPr="00B33DA4">
        <w:rPr>
          <w:rFonts w:ascii="Calibri" w:hAnsi="Calibri" w:cs="Calibri"/>
          <w:b/>
          <w:bCs/>
          <w:sz w:val="22"/>
          <w:szCs w:val="22"/>
        </w:rPr>
        <w:br/>
        <w:t xml:space="preserve">d) Whether any such individuals were subsequently offered or accepted permanent employment with this council following their interim engagement, and if so, in what role: </w:t>
      </w:r>
      <w:r w:rsidRPr="00B33DA4">
        <w:rPr>
          <w:rFonts w:ascii="Calibri" w:eastAsia="Times New Roman" w:hAnsi="Calibri" w:cs="Calibri"/>
          <w:kern w:val="0"/>
          <w:sz w:val="22"/>
          <w:szCs w:val="22"/>
          <w:lang w:eastAsia="en-GB"/>
          <w14:ligatures w14:val="none"/>
        </w:rPr>
        <w:t>None of the Interims covering the assignments listed in Q8b were offered/accepted permanent roles.</w:t>
      </w:r>
    </w:p>
    <w:p w14:paraId="6E6F862F" w14:textId="03EE65D5" w:rsidR="00CA498F" w:rsidRPr="00B33DA4" w:rsidRDefault="00CA498F" w:rsidP="00CA498F">
      <w:pPr>
        <w:rPr>
          <w:rFonts w:ascii="Calibri" w:hAnsi="Calibri" w:cs="Calibri"/>
          <w:b/>
          <w:bCs/>
          <w:sz w:val="22"/>
          <w:szCs w:val="22"/>
        </w:rPr>
      </w:pPr>
      <w:r w:rsidRPr="00B33DA4">
        <w:rPr>
          <w:rFonts w:ascii="Calibri" w:hAnsi="Calibri" w:cs="Calibri"/>
          <w:b/>
          <w:bCs/>
          <w:sz w:val="22"/>
          <w:szCs w:val="22"/>
        </w:rPr>
        <w:br/>
        <w:t>SECTION 9: SEVERANCE, REDUNDANCY AND COMPROMISE AGREEMENTS</w:t>
      </w:r>
      <w:r w:rsidRPr="00B33DA4">
        <w:rPr>
          <w:rFonts w:ascii="Calibri" w:hAnsi="Calibri" w:cs="Calibri"/>
          <w:b/>
          <w:bCs/>
          <w:sz w:val="22"/>
          <w:szCs w:val="22"/>
        </w:rPr>
        <w:br/>
        <w:t>a) The total number of severance, redundancy, or compromise agreement payments made to employees earning 50,000 pounds or more per annum, in each of the last three complete financial years.</w:t>
      </w:r>
    </w:p>
    <w:p w14:paraId="7602713C"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25/26                 8</w:t>
      </w:r>
    </w:p>
    <w:p w14:paraId="6276C133"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24/25                 8</w:t>
      </w:r>
    </w:p>
    <w:p w14:paraId="147271AF"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23/24                 3</w:t>
      </w:r>
    </w:p>
    <w:p w14:paraId="2F29BF73" w14:textId="057FF901" w:rsidR="00CA498F" w:rsidRPr="00B33DA4" w:rsidRDefault="00CA498F" w:rsidP="00CA498F">
      <w:pPr>
        <w:rPr>
          <w:rFonts w:ascii="Calibri" w:hAnsi="Calibri" w:cs="Calibri"/>
          <w:b/>
          <w:bCs/>
          <w:sz w:val="22"/>
          <w:szCs w:val="22"/>
        </w:rPr>
      </w:pPr>
      <w:r w:rsidRPr="00B33DA4">
        <w:rPr>
          <w:rFonts w:ascii="Calibri" w:hAnsi="Calibri" w:cs="Calibri"/>
          <w:b/>
          <w:bCs/>
          <w:sz w:val="22"/>
          <w:szCs w:val="22"/>
        </w:rPr>
        <w:t>b) The total combined value of all such payments in each of those years.</w:t>
      </w:r>
    </w:p>
    <w:p w14:paraId="6AB6AC58"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25/26                 £171.742.73</w:t>
      </w:r>
    </w:p>
    <w:p w14:paraId="5199AC50"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24/25                 £168,895.40</w:t>
      </w:r>
    </w:p>
    <w:p w14:paraId="1D7873ED" w14:textId="77777777" w:rsidR="00CA498F" w:rsidRPr="00B33DA4" w:rsidRDefault="00CA498F" w:rsidP="00CA498F">
      <w:pPr>
        <w:spacing w:after="0" w:line="240" w:lineRule="auto"/>
        <w:rPr>
          <w:rFonts w:ascii="Calibri" w:eastAsia="Times New Roman" w:hAnsi="Calibri" w:cs="Calibri"/>
          <w:kern w:val="0"/>
          <w:sz w:val="22"/>
          <w:szCs w:val="22"/>
          <w:lang w:eastAsia="en-GB"/>
          <w14:ligatures w14:val="none"/>
        </w:rPr>
      </w:pPr>
      <w:r w:rsidRPr="00B33DA4">
        <w:rPr>
          <w:rFonts w:ascii="Calibri" w:eastAsia="Times New Roman" w:hAnsi="Calibri" w:cs="Calibri"/>
          <w:kern w:val="0"/>
          <w:sz w:val="22"/>
          <w:szCs w:val="22"/>
          <w:lang w:eastAsia="en-GB"/>
          <w14:ligatures w14:val="none"/>
        </w:rPr>
        <w:t xml:space="preserve">23/24                 £42,496.29     </w:t>
      </w:r>
    </w:p>
    <w:p w14:paraId="59A75812" w14:textId="3103FF79" w:rsidR="00CA498F" w:rsidRPr="00B33DA4" w:rsidRDefault="00CA498F" w:rsidP="00CA498F">
      <w:pPr>
        <w:rPr>
          <w:rFonts w:ascii="Calibri" w:hAnsi="Calibri" w:cs="Calibri"/>
          <w:b/>
          <w:bCs/>
          <w:sz w:val="22"/>
          <w:szCs w:val="22"/>
        </w:rPr>
      </w:pPr>
      <w:r w:rsidRPr="00B33DA4">
        <w:rPr>
          <w:rFonts w:ascii="Calibri" w:hAnsi="Calibri" w:cs="Calibri"/>
          <w:b/>
          <w:bCs/>
          <w:sz w:val="22"/>
          <w:szCs w:val="22"/>
        </w:rPr>
        <w:t>c) The highest single severance or compromise agreement payment made during this period, stated without identifying the individual recipient.</w:t>
      </w:r>
    </w:p>
    <w:p w14:paraId="7990F912" w14:textId="77777777" w:rsidR="00CA498F" w:rsidRPr="00B33DA4" w:rsidRDefault="00CA498F" w:rsidP="00CA498F">
      <w:pPr>
        <w:rPr>
          <w:rFonts w:ascii="Calibri" w:hAnsi="Calibri" w:cs="Calibri"/>
          <w:sz w:val="22"/>
          <w:szCs w:val="22"/>
        </w:rPr>
      </w:pPr>
      <w:r w:rsidRPr="00B33DA4">
        <w:rPr>
          <w:rFonts w:ascii="Calibri" w:hAnsi="Calibri" w:cs="Calibri"/>
          <w:sz w:val="22"/>
          <w:szCs w:val="22"/>
        </w:rPr>
        <w:t>25/26                 £31,680.47</w:t>
      </w:r>
    </w:p>
    <w:p w14:paraId="225BC88A" w14:textId="77777777" w:rsidR="00CA498F" w:rsidRPr="00B33DA4" w:rsidRDefault="00CA498F" w:rsidP="00CA498F">
      <w:pPr>
        <w:rPr>
          <w:rFonts w:ascii="Calibri" w:hAnsi="Calibri" w:cs="Calibri"/>
          <w:sz w:val="22"/>
          <w:szCs w:val="22"/>
        </w:rPr>
      </w:pPr>
      <w:r w:rsidRPr="00B33DA4">
        <w:rPr>
          <w:rFonts w:ascii="Calibri" w:hAnsi="Calibri" w:cs="Calibri"/>
          <w:sz w:val="22"/>
          <w:szCs w:val="22"/>
        </w:rPr>
        <w:t>24/25                 £28,631.34</w:t>
      </w:r>
    </w:p>
    <w:p w14:paraId="7847F0DF" w14:textId="4E3E5431" w:rsidR="00CA498F" w:rsidRPr="00B33DA4" w:rsidRDefault="00CA498F" w:rsidP="00CA498F">
      <w:pPr>
        <w:rPr>
          <w:rFonts w:ascii="Calibri" w:eastAsia="Times New Roman" w:hAnsi="Calibri" w:cs="Calibri"/>
          <w:color w:val="000000"/>
          <w:kern w:val="0"/>
          <w:sz w:val="22"/>
          <w:szCs w:val="22"/>
          <w:lang w:eastAsia="en-GB"/>
          <w14:ligatures w14:val="none"/>
        </w:rPr>
      </w:pPr>
      <w:r w:rsidRPr="00B33DA4">
        <w:rPr>
          <w:rFonts w:ascii="Calibri" w:hAnsi="Calibri" w:cs="Calibri"/>
          <w:sz w:val="22"/>
          <w:szCs w:val="22"/>
        </w:rPr>
        <w:t>23/24                 £26,298.21</w:t>
      </w:r>
      <w:r w:rsidRPr="00B33DA4">
        <w:rPr>
          <w:rFonts w:ascii="Calibri" w:hAnsi="Calibri" w:cs="Calibri"/>
          <w:b/>
          <w:bCs/>
          <w:sz w:val="22"/>
          <w:szCs w:val="22"/>
        </w:rPr>
        <w:br/>
        <w:t xml:space="preserve">d) Whether any individual who received a severance or compromise agreement payment subsequently returned to work for this council in any capacity, including as an interim or contractor, within 24 months of their departure. If so, how many such instances occurred: </w:t>
      </w:r>
      <w:r w:rsidRPr="00B33DA4">
        <w:rPr>
          <w:rFonts w:ascii="Calibri" w:hAnsi="Calibri" w:cs="Calibri"/>
          <w:sz w:val="22"/>
          <w:szCs w:val="22"/>
        </w:rPr>
        <w:t>No</w:t>
      </w:r>
      <w:r w:rsidRPr="00B33DA4">
        <w:rPr>
          <w:rFonts w:ascii="Calibri" w:hAnsi="Calibri" w:cs="Calibri"/>
          <w:sz w:val="22"/>
          <w:szCs w:val="22"/>
        </w:rPr>
        <w:br/>
      </w:r>
      <w:r w:rsidRPr="00B33DA4">
        <w:rPr>
          <w:rFonts w:ascii="Calibri" w:hAnsi="Calibri" w:cs="Calibri"/>
          <w:b/>
          <w:bCs/>
          <w:sz w:val="22"/>
          <w:szCs w:val="22"/>
        </w:rPr>
        <w:br/>
      </w:r>
      <w:r w:rsidRPr="00B33DA4">
        <w:rPr>
          <w:rFonts w:ascii="Calibri" w:hAnsi="Calibri" w:cs="Calibri"/>
          <w:b/>
          <w:bCs/>
          <w:sz w:val="22"/>
          <w:szCs w:val="22"/>
        </w:rPr>
        <w:lastRenderedPageBreak/>
        <w:t>SECTION 10: RECRUITMENT COSTS FOR SENIOR ROLES</w:t>
      </w:r>
      <w:r w:rsidRPr="00B33DA4">
        <w:rPr>
          <w:rFonts w:ascii="Calibri" w:hAnsi="Calibri" w:cs="Calibri"/>
          <w:b/>
          <w:bCs/>
          <w:sz w:val="22"/>
          <w:szCs w:val="22"/>
        </w:rPr>
        <w:br/>
        <w:t xml:space="preserve">a) The total spend on external recruitment consultants and agencies specifically for the recruitment of roles paying 75,000 pounds or more, in each of the last three complete financial years: </w:t>
      </w:r>
      <w:r w:rsidRPr="00B33DA4">
        <w:rPr>
          <w:rFonts w:ascii="Calibri" w:eastAsia="Times New Roman" w:hAnsi="Calibri" w:cs="Calibri"/>
          <w:color w:val="000000"/>
          <w:kern w:val="0"/>
          <w:sz w:val="22"/>
          <w:szCs w:val="22"/>
          <w:lang w:eastAsia="en-GB"/>
          <w14:ligatures w14:val="none"/>
        </w:rPr>
        <w:t>24/25 £10k</w:t>
      </w:r>
    </w:p>
    <w:p w14:paraId="442DC58A" w14:textId="7C375672" w:rsidR="00CA498F" w:rsidRPr="00B33DA4" w:rsidRDefault="00CA498F" w:rsidP="00CA498F">
      <w:pPr>
        <w:rPr>
          <w:rFonts w:ascii="Calibri" w:eastAsia="Times New Roman" w:hAnsi="Calibri" w:cs="Calibri"/>
          <w:kern w:val="0"/>
          <w:sz w:val="22"/>
          <w:szCs w:val="22"/>
          <w:lang w:eastAsia="en-GB"/>
          <w14:ligatures w14:val="none"/>
        </w:rPr>
      </w:pPr>
      <w:r w:rsidRPr="00B33DA4">
        <w:rPr>
          <w:rFonts w:ascii="Calibri" w:hAnsi="Calibri" w:cs="Calibri"/>
          <w:b/>
          <w:bCs/>
          <w:sz w:val="22"/>
          <w:szCs w:val="22"/>
        </w:rPr>
        <w:t xml:space="preserve">b) The names of any external recruitment firms used for these appointments, and the total fees paid to each: </w:t>
      </w:r>
      <w:r w:rsidRPr="00B33DA4">
        <w:rPr>
          <w:rFonts w:ascii="Calibri" w:eastAsia="Times New Roman" w:hAnsi="Calibri" w:cs="Calibri"/>
          <w:kern w:val="0"/>
          <w:sz w:val="22"/>
          <w:szCs w:val="22"/>
          <w:lang w:eastAsia="en-GB"/>
          <w14:ligatures w14:val="none"/>
        </w:rPr>
        <w:t>Penna £10k</w:t>
      </w:r>
      <w:r w:rsidRPr="00B33DA4">
        <w:rPr>
          <w:rFonts w:ascii="Calibri" w:hAnsi="Calibri" w:cs="Calibri"/>
          <w:b/>
          <w:bCs/>
          <w:sz w:val="22"/>
          <w:szCs w:val="22"/>
        </w:rPr>
        <w:br/>
        <w:t xml:space="preserve">c) The average cost of recruiting a single senior appointment of 75,000 pounds or above via external recruitment, where this data is held: </w:t>
      </w:r>
      <w:r w:rsidRPr="00B33DA4">
        <w:rPr>
          <w:rFonts w:ascii="Calibri" w:hAnsi="Calibri" w:cs="Calibri"/>
          <w:sz w:val="22"/>
          <w:szCs w:val="22"/>
        </w:rPr>
        <w:t>N/A – all senior roles recruited via in-house recruitment team.</w:t>
      </w:r>
      <w:r w:rsidRPr="00B33DA4">
        <w:rPr>
          <w:rFonts w:ascii="Calibri" w:hAnsi="Calibri" w:cs="Calibri"/>
          <w:b/>
          <w:bCs/>
          <w:sz w:val="22"/>
          <w:szCs w:val="22"/>
        </w:rPr>
        <w:br/>
      </w:r>
      <w:r w:rsidRPr="00B33DA4">
        <w:rPr>
          <w:rFonts w:ascii="Calibri" w:hAnsi="Calibri" w:cs="Calibri"/>
          <w:b/>
          <w:bCs/>
          <w:sz w:val="22"/>
          <w:szCs w:val="22"/>
        </w:rPr>
        <w:br/>
        <w:t>SECTION 11: TOTAL SENIOR LEADERSHIP COST</w:t>
      </w:r>
      <w:r w:rsidRPr="00B33DA4">
        <w:rPr>
          <w:rFonts w:ascii="Calibri" w:hAnsi="Calibri" w:cs="Calibri"/>
          <w:b/>
          <w:bCs/>
          <w:sz w:val="22"/>
          <w:szCs w:val="22"/>
        </w:rPr>
        <w:br/>
        <w:t>A consolidated figure representing the total cost to the public purse of the council's senior leadership, defined as all employees and contractors performing at director level or above, for the most recent complete financial year. This should include salaries, employer National Insurance contributions, employer pension contributions, car allowances, and any other contractual benefits.</w:t>
      </w:r>
      <w:r w:rsidRPr="00B33DA4">
        <w:rPr>
          <w:rFonts w:ascii="Calibri" w:hAnsi="Calibri" w:cs="Calibri"/>
          <w:b/>
          <w:bCs/>
          <w:sz w:val="22"/>
          <w:szCs w:val="22"/>
        </w:rPr>
        <w:br/>
      </w:r>
      <w:r w:rsidRPr="00B33DA4">
        <w:rPr>
          <w:rFonts w:ascii="Calibri" w:eastAsia="Times New Roman" w:hAnsi="Calibri" w:cs="Calibri"/>
          <w:kern w:val="0"/>
          <w:sz w:val="22"/>
          <w:szCs w:val="22"/>
          <w:lang w:eastAsia="en-GB"/>
          <w14:ligatures w14:val="none"/>
        </w:rPr>
        <w:t>£1,175,179.02</w:t>
      </w:r>
    </w:p>
    <w:sectPr w:rsidR="00CA498F" w:rsidRPr="00B33DA4" w:rsidSect="00F93CB5">
      <w:footerReference w:type="even" r:id="rId17"/>
      <w:foot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EFBD" w14:textId="77777777" w:rsidR="00E01553" w:rsidRDefault="00E01553" w:rsidP="00EA6F16">
      <w:pPr>
        <w:spacing w:after="0" w:line="240" w:lineRule="auto"/>
      </w:pPr>
      <w:r>
        <w:separator/>
      </w:r>
    </w:p>
  </w:endnote>
  <w:endnote w:type="continuationSeparator" w:id="0">
    <w:p w14:paraId="7EAA8244" w14:textId="77777777" w:rsidR="00E01553" w:rsidRDefault="00E01553" w:rsidP="00EA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1B75" w14:textId="03138D80" w:rsidR="00EA6F16" w:rsidRDefault="00EA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861C" w14:textId="7274BA14" w:rsidR="00EA6F16" w:rsidRDefault="00EA6F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DF7F" w14:textId="34A9D59D" w:rsidR="00EA6F16" w:rsidRDefault="00EA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A7204" w14:textId="77777777" w:rsidR="00E01553" w:rsidRDefault="00E01553" w:rsidP="00EA6F16">
      <w:pPr>
        <w:spacing w:after="0" w:line="240" w:lineRule="auto"/>
      </w:pPr>
      <w:r>
        <w:separator/>
      </w:r>
    </w:p>
  </w:footnote>
  <w:footnote w:type="continuationSeparator" w:id="0">
    <w:p w14:paraId="045B105D" w14:textId="77777777" w:rsidR="00E01553" w:rsidRDefault="00E01553" w:rsidP="00EA6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02D1A"/>
    <w:multiLevelType w:val="hybridMultilevel"/>
    <w:tmpl w:val="385A5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96140D"/>
    <w:multiLevelType w:val="hybridMultilevel"/>
    <w:tmpl w:val="D59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9853515">
    <w:abstractNumId w:val="1"/>
  </w:num>
  <w:num w:numId="2" w16cid:durableId="1862667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BF9"/>
    <w:rsid w:val="0005237F"/>
    <w:rsid w:val="003C4CDE"/>
    <w:rsid w:val="005F6BF9"/>
    <w:rsid w:val="008D765C"/>
    <w:rsid w:val="009343E9"/>
    <w:rsid w:val="00B33DA4"/>
    <w:rsid w:val="00B819A1"/>
    <w:rsid w:val="00CA498F"/>
    <w:rsid w:val="00E01553"/>
    <w:rsid w:val="00E10FA2"/>
    <w:rsid w:val="00EA6F16"/>
    <w:rsid w:val="00F93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4B53"/>
  <w15:chartTrackingRefBased/>
  <w15:docId w15:val="{3E8DBA19-9ED1-46BC-AD6E-FBCA1EA1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BF9"/>
    <w:rPr>
      <w:rFonts w:eastAsiaTheme="majorEastAsia" w:cstheme="majorBidi"/>
      <w:color w:val="272727" w:themeColor="text1" w:themeTint="D8"/>
    </w:rPr>
  </w:style>
  <w:style w:type="paragraph" w:styleId="Title">
    <w:name w:val="Title"/>
    <w:basedOn w:val="Normal"/>
    <w:next w:val="Normal"/>
    <w:link w:val="TitleChar"/>
    <w:uiPriority w:val="10"/>
    <w:qFormat/>
    <w:rsid w:val="005F6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BF9"/>
    <w:pPr>
      <w:spacing w:before="160"/>
      <w:jc w:val="center"/>
    </w:pPr>
    <w:rPr>
      <w:i/>
      <w:iCs/>
      <w:color w:val="404040" w:themeColor="text1" w:themeTint="BF"/>
    </w:rPr>
  </w:style>
  <w:style w:type="character" w:customStyle="1" w:styleId="QuoteChar">
    <w:name w:val="Quote Char"/>
    <w:basedOn w:val="DefaultParagraphFont"/>
    <w:link w:val="Quote"/>
    <w:uiPriority w:val="29"/>
    <w:rsid w:val="005F6BF9"/>
    <w:rPr>
      <w:i/>
      <w:iCs/>
      <w:color w:val="404040" w:themeColor="text1" w:themeTint="BF"/>
    </w:rPr>
  </w:style>
  <w:style w:type="paragraph" w:styleId="ListParagraph">
    <w:name w:val="List Paragraph"/>
    <w:basedOn w:val="Normal"/>
    <w:uiPriority w:val="34"/>
    <w:qFormat/>
    <w:rsid w:val="005F6BF9"/>
    <w:pPr>
      <w:ind w:left="720"/>
      <w:contextualSpacing/>
    </w:pPr>
  </w:style>
  <w:style w:type="character" w:styleId="IntenseEmphasis">
    <w:name w:val="Intense Emphasis"/>
    <w:basedOn w:val="DefaultParagraphFont"/>
    <w:uiPriority w:val="21"/>
    <w:qFormat/>
    <w:rsid w:val="005F6BF9"/>
    <w:rPr>
      <w:i/>
      <w:iCs/>
      <w:color w:val="0F4761" w:themeColor="accent1" w:themeShade="BF"/>
    </w:rPr>
  </w:style>
  <w:style w:type="paragraph" w:styleId="IntenseQuote">
    <w:name w:val="Intense Quote"/>
    <w:basedOn w:val="Normal"/>
    <w:next w:val="Normal"/>
    <w:link w:val="IntenseQuoteChar"/>
    <w:uiPriority w:val="30"/>
    <w:qFormat/>
    <w:rsid w:val="005F6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BF9"/>
    <w:rPr>
      <w:i/>
      <w:iCs/>
      <w:color w:val="0F4761" w:themeColor="accent1" w:themeShade="BF"/>
    </w:rPr>
  </w:style>
  <w:style w:type="character" w:styleId="IntenseReference">
    <w:name w:val="Intense Reference"/>
    <w:basedOn w:val="DefaultParagraphFont"/>
    <w:uiPriority w:val="32"/>
    <w:qFormat/>
    <w:rsid w:val="005F6BF9"/>
    <w:rPr>
      <w:b/>
      <w:bCs/>
      <w:smallCaps/>
      <w:color w:val="0F4761" w:themeColor="accent1" w:themeShade="BF"/>
      <w:spacing w:val="5"/>
    </w:rPr>
  </w:style>
  <w:style w:type="character" w:styleId="Hyperlink">
    <w:name w:val="Hyperlink"/>
    <w:basedOn w:val="DefaultParagraphFont"/>
    <w:uiPriority w:val="99"/>
    <w:unhideWhenUsed/>
    <w:rsid w:val="00CA498F"/>
    <w:rPr>
      <w:color w:val="467886" w:themeColor="hyperlink"/>
      <w:u w:val="single"/>
    </w:rPr>
  </w:style>
  <w:style w:type="character" w:styleId="UnresolvedMention">
    <w:name w:val="Unresolved Mention"/>
    <w:basedOn w:val="DefaultParagraphFont"/>
    <w:uiPriority w:val="99"/>
    <w:semiHidden/>
    <w:unhideWhenUsed/>
    <w:rsid w:val="00CA498F"/>
    <w:rPr>
      <w:color w:val="605E5C"/>
      <w:shd w:val="clear" w:color="auto" w:fill="E1DFDD"/>
    </w:rPr>
  </w:style>
  <w:style w:type="paragraph" w:styleId="Footer">
    <w:name w:val="footer"/>
    <w:basedOn w:val="Normal"/>
    <w:link w:val="FooterChar"/>
    <w:uiPriority w:val="99"/>
    <w:unhideWhenUsed/>
    <w:rsid w:val="00EA6F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okingham.moderngov.co.uk/ieListDocuments.aspx?CId=131&amp;MId=497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wokingham.gov.uk/roads/repor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okingham.gov.uk/council-and-meetings/open-data-and-transparency/data-sets-and-open-da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statistics/local-authority-revenue-expenditure-and-financing-england-2024-to-2025-individual-local-authority-data-outturn" TargetMode="External"/><Relationship Id="rId5" Type="http://schemas.openxmlformats.org/officeDocument/2006/relationships/styles" Target="styles.xml"/><Relationship Id="rId15" Type="http://schemas.openxmlformats.org/officeDocument/2006/relationships/hyperlink" Target="https://wokingham.moderngov.co.uk/ieListMeetings.aspx?CommitteeId=306" TargetMode="External"/><Relationship Id="rId10" Type="http://schemas.openxmlformats.org/officeDocument/2006/relationships/hyperlink" Target="https://wokingham.moderngov.co.uk/documents/g5716/Public%20reports%20pack%2025th-Jun-2026%2019.00%20Executive.pdf?T=10"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okingham.moderngov.co.uk/ieListDocuments.aspx?CId=131&amp;MId=4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70cebd-a7fd-437f-b435-56df07444072">
      <Terms xmlns="http://schemas.microsoft.com/office/infopath/2007/PartnerControls"/>
    </lcf76f155ced4ddcb4097134ff3c332f>
    <TaxCatchAll xmlns="d0b3d41c-52c7-4553-b98e-2971fc0ed1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FA5B17D3A2340A03DEE3F7E105986" ma:contentTypeVersion="13" ma:contentTypeDescription="Create a new document." ma:contentTypeScope="" ma:versionID="24bb849645d2b61e9b387aced34877a2">
  <xsd:schema xmlns:xsd="http://www.w3.org/2001/XMLSchema" xmlns:xs="http://www.w3.org/2001/XMLSchema" xmlns:p="http://schemas.microsoft.com/office/2006/metadata/properties" xmlns:ns2="ca70cebd-a7fd-437f-b435-56df07444072" xmlns:ns3="d0b3d41c-52c7-4553-b98e-2971fc0ed123" targetNamespace="http://schemas.microsoft.com/office/2006/metadata/properties" ma:root="true" ma:fieldsID="4e08e495e7e72b4b492820f67c7405ea" ns2:_="" ns3:_="">
    <xsd:import namespace="ca70cebd-a7fd-437f-b435-56df07444072"/>
    <xsd:import namespace="d0b3d41c-52c7-4553-b98e-2971fc0ed1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0cebd-a7fd-437f-b435-56df07444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f4c14d-ad24-42e9-89ea-41944c85aae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b3d41c-52c7-4553-b98e-2971fc0ed12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ee23e2-bee3-45f6-b0ef-bf51d42304d3}" ma:internalName="TaxCatchAll" ma:showField="CatchAllData" ma:web="d0b3d41c-52c7-4553-b98e-2971fc0ed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EFF5C6-E96F-46E2-BE94-0F777AC86413}">
  <ds:schemaRefs>
    <ds:schemaRef ds:uri="http://schemas.microsoft.com/office/2006/metadata/properties"/>
    <ds:schemaRef ds:uri="http://schemas.microsoft.com/office/infopath/2007/PartnerControls"/>
    <ds:schemaRef ds:uri="ca70cebd-a7fd-437f-b435-56df07444072"/>
    <ds:schemaRef ds:uri="d0b3d41c-52c7-4553-b98e-2971fc0ed123"/>
  </ds:schemaRefs>
</ds:datastoreItem>
</file>

<file path=customXml/itemProps2.xml><?xml version="1.0" encoding="utf-8"?>
<ds:datastoreItem xmlns:ds="http://schemas.openxmlformats.org/officeDocument/2006/customXml" ds:itemID="{B012EDE6-EBD7-46F3-B3CB-BB0434A4EB2B}">
  <ds:schemaRefs>
    <ds:schemaRef ds:uri="http://schemas.microsoft.com/sharepoint/v3/contenttype/forms"/>
  </ds:schemaRefs>
</ds:datastoreItem>
</file>

<file path=customXml/itemProps3.xml><?xml version="1.0" encoding="utf-8"?>
<ds:datastoreItem xmlns:ds="http://schemas.openxmlformats.org/officeDocument/2006/customXml" ds:itemID="{F58F75F0-E45A-4232-8218-E393C1687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0cebd-a7fd-437f-b435-56df07444072"/>
    <ds:schemaRef ds:uri="d0b3d41c-52c7-4553-b98e-2971fc0ed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2</cp:revision>
  <dcterms:created xsi:type="dcterms:W3CDTF">2026-07-29T14:07:00Z</dcterms:created>
  <dcterms:modified xsi:type="dcterms:W3CDTF">2026-07-29T14:07:00Z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2026-07-29T14:02:25Z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7b91663b-5220-4ae6-b89a-64c5cd961180</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y fmtid="{D5CDD505-2E9C-101B-9397-08002B2CF9AE}" pid="10" name="ContentTypeId">
    <vt:lpwstr>0x01010082BFA5B17D3A2340A03DEE3F7E105986</vt:lpwstr>
  </property>
</Properties>
</file>