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B590C" w14:textId="7FA80B1C" w:rsidR="00AB603E" w:rsidRPr="00AB603E" w:rsidRDefault="00AB603E" w:rsidP="00AB603E">
      <w:pPr>
        <w:jc w:val="center"/>
        <w:rPr>
          <w:rFonts w:ascii="Calibri" w:hAnsi="Calibri" w:cs="Calibri"/>
          <w:b/>
          <w:bCs/>
          <w:sz w:val="22"/>
          <w:szCs w:val="22"/>
          <w:u w:val="single"/>
        </w:rPr>
      </w:pPr>
      <w:r w:rsidRPr="00AB603E">
        <w:rPr>
          <w:rFonts w:ascii="Calibri" w:hAnsi="Calibri" w:cs="Calibri"/>
          <w:b/>
          <w:bCs/>
          <w:sz w:val="22"/>
          <w:szCs w:val="22"/>
          <w:u w:val="single"/>
        </w:rPr>
        <w:t>WBCIR:22143</w:t>
      </w:r>
    </w:p>
    <w:p w14:paraId="7639E713" w14:textId="38E2C4F9" w:rsidR="00AB603E" w:rsidRPr="00AB603E" w:rsidRDefault="00AB603E">
      <w:pPr>
        <w:rPr>
          <w:rFonts w:ascii="Calibri" w:hAnsi="Calibri" w:cs="Calibri"/>
          <w:sz w:val="22"/>
          <w:szCs w:val="22"/>
        </w:rPr>
      </w:pPr>
      <w:r w:rsidRPr="00AB603E">
        <w:rPr>
          <w:rFonts w:ascii="Calibri" w:hAnsi="Calibri" w:cs="Calibri"/>
          <w:b/>
          <w:bCs/>
          <w:sz w:val="22"/>
          <w:szCs w:val="22"/>
        </w:rPr>
        <w:t>Under the FOI act, I would like a list of the services commissioned by Wokingham council for general practice and pharmacy, and the accompanying service specifications. This includes local enhanced services, locally commissioned services or any similar service. This will likely be public health services related to (not exhaustive) addiction services, smoking cessation, sexual health, etc. Please provide (ideally in Excel format):</w:t>
      </w:r>
      <w:r w:rsidRPr="00AB603E">
        <w:rPr>
          <w:rFonts w:ascii="Calibri" w:hAnsi="Calibri" w:cs="Calibri"/>
          <w:b/>
          <w:bCs/>
          <w:sz w:val="22"/>
          <w:szCs w:val="22"/>
        </w:rPr>
        <w:br/>
        <w:t>1. The name of the service</w:t>
      </w:r>
      <w:r w:rsidRPr="00AB603E">
        <w:rPr>
          <w:rFonts w:ascii="Calibri" w:hAnsi="Calibri" w:cs="Calibri"/>
          <w:b/>
          <w:bCs/>
          <w:sz w:val="22"/>
          <w:szCs w:val="22"/>
        </w:rPr>
        <w:br/>
        <w:t>2. The budget for the service</w:t>
      </w:r>
      <w:r w:rsidRPr="00AB603E">
        <w:rPr>
          <w:rFonts w:ascii="Calibri" w:hAnsi="Calibri" w:cs="Calibri"/>
          <w:b/>
          <w:bCs/>
          <w:sz w:val="22"/>
          <w:szCs w:val="22"/>
        </w:rPr>
        <w:br/>
        <w:t>3. The service specification for each service – please ensure that you clarify which file name corresponds to which service</w:t>
      </w:r>
      <w:r w:rsidRPr="00AB603E">
        <w:rPr>
          <w:rFonts w:ascii="Calibri" w:hAnsi="Calibri" w:cs="Calibri"/>
          <w:b/>
          <w:bCs/>
          <w:sz w:val="22"/>
          <w:szCs w:val="22"/>
        </w:rPr>
        <w:br/>
        <w:t>4. The total budget for local enhanced/locally commissioned services for Wokingham council.</w:t>
      </w:r>
      <w:r w:rsidRPr="00AB603E">
        <w:rPr>
          <w:rFonts w:ascii="Calibri" w:hAnsi="Calibri" w:cs="Calibri"/>
          <w:b/>
          <w:bCs/>
          <w:sz w:val="22"/>
          <w:szCs w:val="22"/>
        </w:rPr>
        <w:br/>
        <w:t>If the service is a package (</w:t>
      </w:r>
      <w:proofErr w:type="spellStart"/>
      <w:r w:rsidRPr="00AB603E">
        <w:rPr>
          <w:rFonts w:ascii="Calibri" w:hAnsi="Calibri" w:cs="Calibri"/>
          <w:b/>
          <w:bCs/>
          <w:sz w:val="22"/>
          <w:szCs w:val="22"/>
        </w:rPr>
        <w:t>ie</w:t>
      </w:r>
      <w:proofErr w:type="spellEnd"/>
      <w:r w:rsidRPr="00AB603E">
        <w:rPr>
          <w:rFonts w:ascii="Calibri" w:hAnsi="Calibri" w:cs="Calibri"/>
          <w:b/>
          <w:bCs/>
          <w:sz w:val="22"/>
          <w:szCs w:val="22"/>
        </w:rPr>
        <w:t xml:space="preserve">, ‘single offer’, ‘basket of services’) that incorporates </w:t>
      </w:r>
      <w:proofErr w:type="gramStart"/>
      <w:r w:rsidRPr="00AB603E">
        <w:rPr>
          <w:rFonts w:ascii="Calibri" w:hAnsi="Calibri" w:cs="Calibri"/>
          <w:b/>
          <w:bCs/>
          <w:sz w:val="22"/>
          <w:szCs w:val="22"/>
        </w:rPr>
        <w:t>a number of</w:t>
      </w:r>
      <w:proofErr w:type="gramEnd"/>
      <w:r w:rsidRPr="00AB603E">
        <w:rPr>
          <w:rFonts w:ascii="Calibri" w:hAnsi="Calibri" w:cs="Calibri"/>
          <w:b/>
          <w:bCs/>
          <w:sz w:val="22"/>
          <w:szCs w:val="22"/>
        </w:rPr>
        <w:t xml:space="preserve"> different services, please break this down to their component parts as much as possible.</w:t>
      </w:r>
    </w:p>
    <w:p w14:paraId="1A6C5328" w14:textId="7F8C9AC4" w:rsidR="00AB603E" w:rsidRPr="00AB603E" w:rsidRDefault="00AB603E">
      <w:pPr>
        <w:rPr>
          <w:rFonts w:ascii="Calibri" w:hAnsi="Calibri" w:cs="Calibri"/>
          <w:sz w:val="22"/>
          <w:szCs w:val="22"/>
        </w:rPr>
      </w:pPr>
      <w:r w:rsidRPr="00AB603E">
        <w:rPr>
          <w:rFonts w:ascii="Calibri" w:hAnsi="Calibri" w:cs="Calibri"/>
          <w:sz w:val="22"/>
          <w:szCs w:val="22"/>
        </w:rPr>
        <w:t>Please see below and attached response</w:t>
      </w:r>
    </w:p>
    <w:p w14:paraId="3CA79614"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The public health team commissions the following services from GP practices: NHS Health Checks and LARC. We do not commission direct any service from pharmacy. </w:t>
      </w:r>
    </w:p>
    <w:tbl>
      <w:tblPr>
        <w:tblW w:w="9827" w:type="dxa"/>
        <w:tblCellMar>
          <w:left w:w="0" w:type="dxa"/>
          <w:right w:w="0" w:type="dxa"/>
        </w:tblCellMar>
        <w:tblLook w:val="04A0" w:firstRow="1" w:lastRow="0" w:firstColumn="1" w:lastColumn="0" w:noHBand="0" w:noVBand="1"/>
      </w:tblPr>
      <w:tblGrid>
        <w:gridCol w:w="2829"/>
        <w:gridCol w:w="2335"/>
        <w:gridCol w:w="2828"/>
        <w:gridCol w:w="1835"/>
      </w:tblGrid>
      <w:tr w:rsidR="00AB603E" w:rsidRPr="00AB603E" w14:paraId="4545F53F" w14:textId="77777777" w:rsidTr="00AB603E">
        <w:trPr>
          <w:trHeight w:val="457"/>
        </w:trPr>
        <w:tc>
          <w:tcPr>
            <w:tcW w:w="28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1F809D" w14:textId="77777777" w:rsidR="00AB603E" w:rsidRPr="00AB603E" w:rsidRDefault="00AB603E" w:rsidP="00AB603E">
            <w:pPr>
              <w:rPr>
                <w:rFonts w:ascii="Calibri" w:hAnsi="Calibri" w:cs="Calibri"/>
                <w:b/>
                <w:bCs/>
                <w:sz w:val="22"/>
                <w:szCs w:val="22"/>
              </w:rPr>
            </w:pPr>
            <w:r w:rsidRPr="00AB603E">
              <w:rPr>
                <w:rFonts w:ascii="Calibri" w:hAnsi="Calibri" w:cs="Calibri"/>
                <w:b/>
                <w:bCs/>
                <w:sz w:val="22"/>
                <w:szCs w:val="22"/>
              </w:rPr>
              <w:t>Service</w:t>
            </w:r>
          </w:p>
        </w:tc>
        <w:tc>
          <w:tcPr>
            <w:tcW w:w="23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95CB38" w14:textId="77777777" w:rsidR="00AB603E" w:rsidRPr="00AB603E" w:rsidRDefault="00AB603E" w:rsidP="00AB603E">
            <w:pPr>
              <w:rPr>
                <w:rFonts w:ascii="Calibri" w:hAnsi="Calibri" w:cs="Calibri"/>
                <w:b/>
                <w:bCs/>
                <w:sz w:val="22"/>
                <w:szCs w:val="22"/>
              </w:rPr>
            </w:pPr>
            <w:r w:rsidRPr="00AB603E">
              <w:rPr>
                <w:rFonts w:ascii="Calibri" w:hAnsi="Calibri" w:cs="Calibri"/>
                <w:b/>
                <w:bCs/>
                <w:sz w:val="22"/>
                <w:szCs w:val="22"/>
              </w:rPr>
              <w:t>Value</w:t>
            </w:r>
          </w:p>
        </w:tc>
        <w:tc>
          <w:tcPr>
            <w:tcW w:w="2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A2086D" w14:textId="77777777" w:rsidR="00AB603E" w:rsidRPr="00AB603E" w:rsidRDefault="00AB603E" w:rsidP="00AB603E">
            <w:pPr>
              <w:rPr>
                <w:rFonts w:ascii="Calibri" w:hAnsi="Calibri" w:cs="Calibri"/>
                <w:b/>
                <w:bCs/>
                <w:sz w:val="22"/>
                <w:szCs w:val="22"/>
              </w:rPr>
            </w:pPr>
            <w:r w:rsidRPr="00AB603E">
              <w:rPr>
                <w:rFonts w:ascii="Calibri" w:hAnsi="Calibri" w:cs="Calibri"/>
                <w:b/>
                <w:bCs/>
                <w:sz w:val="22"/>
                <w:szCs w:val="22"/>
              </w:rPr>
              <w:t>GP practices signed up</w:t>
            </w:r>
          </w:p>
        </w:tc>
        <w:tc>
          <w:tcPr>
            <w:tcW w:w="1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9F26C" w14:textId="77777777" w:rsidR="00AB603E" w:rsidRPr="00AB603E" w:rsidRDefault="00AB603E" w:rsidP="00AB603E">
            <w:pPr>
              <w:rPr>
                <w:rFonts w:ascii="Calibri" w:hAnsi="Calibri" w:cs="Calibri"/>
                <w:b/>
                <w:bCs/>
                <w:sz w:val="22"/>
                <w:szCs w:val="22"/>
              </w:rPr>
            </w:pPr>
            <w:r w:rsidRPr="00AB603E">
              <w:rPr>
                <w:rFonts w:ascii="Calibri" w:hAnsi="Calibri" w:cs="Calibri"/>
                <w:b/>
                <w:bCs/>
                <w:sz w:val="22"/>
                <w:szCs w:val="22"/>
              </w:rPr>
              <w:t xml:space="preserve">Pharmacy </w:t>
            </w:r>
            <w:proofErr w:type="gramStart"/>
            <w:r w:rsidRPr="00AB603E">
              <w:rPr>
                <w:rFonts w:ascii="Calibri" w:hAnsi="Calibri" w:cs="Calibri"/>
                <w:b/>
                <w:bCs/>
                <w:sz w:val="22"/>
                <w:szCs w:val="22"/>
              </w:rPr>
              <w:t>sign</w:t>
            </w:r>
            <w:proofErr w:type="gramEnd"/>
            <w:r w:rsidRPr="00AB603E">
              <w:rPr>
                <w:rFonts w:ascii="Calibri" w:hAnsi="Calibri" w:cs="Calibri"/>
                <w:b/>
                <w:bCs/>
                <w:sz w:val="22"/>
                <w:szCs w:val="22"/>
              </w:rPr>
              <w:t xml:space="preserve"> up</w:t>
            </w:r>
          </w:p>
        </w:tc>
      </w:tr>
      <w:tr w:rsidR="00AB603E" w:rsidRPr="00AB603E" w14:paraId="1B1F85E2" w14:textId="77777777" w:rsidTr="00AB603E">
        <w:trPr>
          <w:trHeight w:val="1109"/>
        </w:trPr>
        <w:tc>
          <w:tcPr>
            <w:tcW w:w="2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E4DD3"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NHS Health Checks – service specification subject to rolling extension</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14:paraId="165C6CA0"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tariff £24.00 per check, £28.00 targeted check.</w:t>
            </w:r>
          </w:p>
        </w:tc>
        <w:tc>
          <w:tcPr>
            <w:tcW w:w="2828" w:type="dxa"/>
            <w:tcBorders>
              <w:top w:val="nil"/>
              <w:left w:val="nil"/>
              <w:bottom w:val="single" w:sz="8" w:space="0" w:color="auto"/>
              <w:right w:val="single" w:sz="8" w:space="0" w:color="auto"/>
            </w:tcBorders>
            <w:tcMar>
              <w:top w:w="0" w:type="dxa"/>
              <w:left w:w="108" w:type="dxa"/>
              <w:bottom w:w="0" w:type="dxa"/>
              <w:right w:w="108" w:type="dxa"/>
            </w:tcMar>
            <w:hideMark/>
          </w:tcPr>
          <w:p w14:paraId="72BFE8D9"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4 of 11 practices</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14:paraId="4754CBE9"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N/A</w:t>
            </w:r>
          </w:p>
        </w:tc>
      </w:tr>
      <w:tr w:rsidR="00AB603E" w:rsidRPr="00AB603E" w14:paraId="05281BD0" w14:textId="77777777" w:rsidTr="00AB603E">
        <w:trPr>
          <w:trHeight w:val="537"/>
        </w:trPr>
        <w:tc>
          <w:tcPr>
            <w:tcW w:w="28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FF995"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LARC – spec entitled Appendix A</w:t>
            </w:r>
          </w:p>
        </w:tc>
        <w:tc>
          <w:tcPr>
            <w:tcW w:w="2335" w:type="dxa"/>
            <w:tcBorders>
              <w:top w:val="nil"/>
              <w:left w:val="nil"/>
              <w:bottom w:val="single" w:sz="8" w:space="0" w:color="auto"/>
              <w:right w:val="single" w:sz="8" w:space="0" w:color="auto"/>
            </w:tcBorders>
            <w:tcMar>
              <w:top w:w="0" w:type="dxa"/>
              <w:left w:w="108" w:type="dxa"/>
              <w:bottom w:w="0" w:type="dxa"/>
              <w:right w:w="108" w:type="dxa"/>
            </w:tcMar>
            <w:hideMark/>
          </w:tcPr>
          <w:p w14:paraId="33F691BC"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See table below </w:t>
            </w:r>
          </w:p>
        </w:tc>
        <w:tc>
          <w:tcPr>
            <w:tcW w:w="2828" w:type="dxa"/>
            <w:tcBorders>
              <w:top w:val="nil"/>
              <w:left w:val="nil"/>
              <w:bottom w:val="single" w:sz="8" w:space="0" w:color="auto"/>
              <w:right w:val="single" w:sz="8" w:space="0" w:color="auto"/>
            </w:tcBorders>
            <w:tcMar>
              <w:top w:w="0" w:type="dxa"/>
              <w:left w:w="108" w:type="dxa"/>
              <w:bottom w:w="0" w:type="dxa"/>
              <w:right w:w="108" w:type="dxa"/>
            </w:tcMar>
            <w:hideMark/>
          </w:tcPr>
          <w:p w14:paraId="1541B383"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10 of 11 practices </w:t>
            </w:r>
          </w:p>
        </w:tc>
        <w:tc>
          <w:tcPr>
            <w:tcW w:w="1835" w:type="dxa"/>
            <w:tcBorders>
              <w:top w:val="nil"/>
              <w:left w:val="nil"/>
              <w:bottom w:val="single" w:sz="8" w:space="0" w:color="auto"/>
              <w:right w:val="single" w:sz="8" w:space="0" w:color="auto"/>
            </w:tcBorders>
            <w:tcMar>
              <w:top w:w="0" w:type="dxa"/>
              <w:left w:w="108" w:type="dxa"/>
              <w:bottom w:w="0" w:type="dxa"/>
              <w:right w:w="108" w:type="dxa"/>
            </w:tcMar>
            <w:hideMark/>
          </w:tcPr>
          <w:p w14:paraId="149076BE"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N/A</w:t>
            </w:r>
          </w:p>
        </w:tc>
      </w:tr>
    </w:tbl>
    <w:p w14:paraId="17374D97" w14:textId="77777777" w:rsidR="00AB603E" w:rsidRDefault="00AB603E" w:rsidP="00AB603E">
      <w:pPr>
        <w:rPr>
          <w:rFonts w:ascii="Calibri" w:hAnsi="Calibri" w:cs="Calibri"/>
          <w:sz w:val="22"/>
          <w:szCs w:val="22"/>
        </w:rPr>
      </w:pPr>
    </w:p>
    <w:p w14:paraId="490ED81E" w14:textId="7F1301C1"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LARC </w:t>
      </w:r>
      <w:proofErr w:type="gramStart"/>
      <w:r w:rsidRPr="00AB603E">
        <w:rPr>
          <w:rFonts w:ascii="Calibri" w:hAnsi="Calibri" w:cs="Calibri"/>
          <w:sz w:val="22"/>
          <w:szCs w:val="22"/>
        </w:rPr>
        <w:t>tariff :</w:t>
      </w:r>
      <w:proofErr w:type="gramEnd"/>
      <w:r w:rsidRPr="00AB603E">
        <w:rPr>
          <w:rFonts w:ascii="Calibri" w:hAnsi="Calibri" w:cs="Calibri"/>
          <w:sz w:val="22"/>
          <w:szCs w:val="22"/>
        </w:rPr>
        <w:t xml:space="preserve"> </w:t>
      </w:r>
    </w:p>
    <w:tbl>
      <w:tblPr>
        <w:tblW w:w="9901" w:type="dxa"/>
        <w:tblCellMar>
          <w:left w:w="0" w:type="dxa"/>
          <w:right w:w="0" w:type="dxa"/>
        </w:tblCellMar>
        <w:tblLook w:val="04A0" w:firstRow="1" w:lastRow="0" w:firstColumn="1" w:lastColumn="0" w:noHBand="0" w:noVBand="1"/>
      </w:tblPr>
      <w:tblGrid>
        <w:gridCol w:w="8495"/>
        <w:gridCol w:w="1406"/>
      </w:tblGrid>
      <w:tr w:rsidR="00AB603E" w:rsidRPr="00AB603E" w14:paraId="026A0CE6" w14:textId="77777777" w:rsidTr="00AB603E">
        <w:trPr>
          <w:trHeight w:val="401"/>
        </w:trPr>
        <w:tc>
          <w:tcPr>
            <w:tcW w:w="8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985CEF0"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Service</w:t>
            </w:r>
          </w:p>
        </w:tc>
        <w:tc>
          <w:tcPr>
            <w:tcW w:w="14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D60B76F"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Payment</w:t>
            </w:r>
          </w:p>
        </w:tc>
      </w:tr>
      <w:tr w:rsidR="00AB603E" w:rsidRPr="00AB603E" w14:paraId="05AF3B1F" w14:textId="77777777" w:rsidTr="00AB603E">
        <w:trPr>
          <w:trHeight w:val="481"/>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97D7280"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New IUD/IUS fitting and subsequent management</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9E7305"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£93.28</w:t>
            </w:r>
          </w:p>
        </w:tc>
      </w:tr>
      <w:tr w:rsidR="00AB603E" w:rsidRPr="00AB603E" w14:paraId="0C3C694D" w14:textId="77777777" w:rsidTr="00AB603E">
        <w:trPr>
          <w:trHeight w:val="529"/>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E7BBF7F"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IUD/IUS replacement (removal and refit of IUD/IUS and subsequent management)</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E3D8E"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£113.42</w:t>
            </w:r>
          </w:p>
        </w:tc>
      </w:tr>
      <w:tr w:rsidR="00AB603E" w:rsidRPr="00AB603E" w14:paraId="7027EB44" w14:textId="77777777" w:rsidTr="00AB603E">
        <w:trPr>
          <w:trHeight w:val="481"/>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4A053FE"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IUD/IUS removal only</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2E069"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£46.64</w:t>
            </w:r>
          </w:p>
        </w:tc>
      </w:tr>
      <w:tr w:rsidR="00AB603E" w:rsidRPr="00AB603E" w14:paraId="7637FC65" w14:textId="77777777" w:rsidTr="00AB603E">
        <w:trPr>
          <w:trHeight w:val="481"/>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67988B6"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New Nexplanon implant fitting only </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F7E9572"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£55.00</w:t>
            </w:r>
          </w:p>
        </w:tc>
      </w:tr>
      <w:tr w:rsidR="00AB603E" w:rsidRPr="00AB603E" w14:paraId="798F2F01" w14:textId="77777777" w:rsidTr="00AB603E">
        <w:trPr>
          <w:trHeight w:val="469"/>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CDAA18E"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Nexplanon implant removal only</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74AFF5"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£83.00</w:t>
            </w:r>
          </w:p>
        </w:tc>
      </w:tr>
      <w:tr w:rsidR="00AB603E" w:rsidRPr="00AB603E" w14:paraId="206F3CE7" w14:textId="77777777" w:rsidTr="00AB603E">
        <w:trPr>
          <w:trHeight w:val="520"/>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50B33E0"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Nexplanon implant replacement (removal of existing device and replacement) </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D1CB41"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£83.00</w:t>
            </w:r>
          </w:p>
        </w:tc>
      </w:tr>
      <w:tr w:rsidR="00AB603E" w:rsidRPr="00AB603E" w14:paraId="40D9B6B9" w14:textId="77777777" w:rsidTr="00AB603E">
        <w:trPr>
          <w:trHeight w:val="803"/>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6803DE9"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 xml:space="preserve">Current device removed and </w:t>
            </w:r>
            <w:r w:rsidRPr="00AB603E">
              <w:rPr>
                <w:rFonts w:ascii="Calibri" w:hAnsi="Calibri" w:cs="Calibri"/>
                <w:sz w:val="22"/>
                <w:szCs w:val="22"/>
                <w:u w:val="single"/>
              </w:rPr>
              <w:t xml:space="preserve">alternative </w:t>
            </w:r>
            <w:r w:rsidRPr="00AB603E">
              <w:rPr>
                <w:rFonts w:ascii="Calibri" w:hAnsi="Calibri" w:cs="Calibri"/>
                <w:sz w:val="22"/>
                <w:szCs w:val="22"/>
              </w:rPr>
              <w:t xml:space="preserve">method fitted (IUD/IUS for Nexplanon and vice versa) </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D4053C"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£113.42</w:t>
            </w:r>
          </w:p>
        </w:tc>
      </w:tr>
      <w:tr w:rsidR="00AB603E" w:rsidRPr="00AB603E" w14:paraId="3490C4FB" w14:textId="77777777" w:rsidTr="00AB603E">
        <w:trPr>
          <w:trHeight w:val="341"/>
        </w:trPr>
        <w:tc>
          <w:tcPr>
            <w:tcW w:w="84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B43AE92"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Failure to Fit</w:t>
            </w:r>
          </w:p>
        </w:tc>
        <w:tc>
          <w:tcPr>
            <w:tcW w:w="14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8D0F4C" w14:textId="77777777" w:rsidR="00AB603E" w:rsidRPr="00AB603E" w:rsidRDefault="00AB603E" w:rsidP="00AB603E">
            <w:pPr>
              <w:rPr>
                <w:rFonts w:ascii="Calibri" w:hAnsi="Calibri" w:cs="Calibri"/>
                <w:sz w:val="22"/>
                <w:szCs w:val="22"/>
              </w:rPr>
            </w:pPr>
            <w:r w:rsidRPr="00AB603E">
              <w:rPr>
                <w:rFonts w:ascii="Calibri" w:hAnsi="Calibri" w:cs="Calibri"/>
                <w:sz w:val="22"/>
                <w:szCs w:val="22"/>
              </w:rPr>
              <w:t>£34.98</w:t>
            </w:r>
          </w:p>
        </w:tc>
      </w:tr>
    </w:tbl>
    <w:p w14:paraId="232FB369" w14:textId="77777777" w:rsidR="00AB603E" w:rsidRPr="00AB603E" w:rsidRDefault="00AB603E" w:rsidP="00AB603E">
      <w:pPr>
        <w:rPr>
          <w:rFonts w:ascii="Calibri" w:hAnsi="Calibri" w:cs="Calibri"/>
          <w:sz w:val="22"/>
          <w:szCs w:val="22"/>
        </w:rPr>
      </w:pPr>
    </w:p>
    <w:sectPr w:rsidR="00AB603E" w:rsidRPr="00AB60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3E"/>
    <w:rsid w:val="00A855F8"/>
    <w:rsid w:val="00AB6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F376"/>
  <w15:chartTrackingRefBased/>
  <w15:docId w15:val="{E40ED22D-BCF0-42D0-8EC6-2F0148AE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0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0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0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03E"/>
    <w:rPr>
      <w:rFonts w:eastAsiaTheme="majorEastAsia" w:cstheme="majorBidi"/>
      <w:color w:val="272727" w:themeColor="text1" w:themeTint="D8"/>
    </w:rPr>
  </w:style>
  <w:style w:type="paragraph" w:styleId="Title">
    <w:name w:val="Title"/>
    <w:basedOn w:val="Normal"/>
    <w:next w:val="Normal"/>
    <w:link w:val="TitleChar"/>
    <w:uiPriority w:val="10"/>
    <w:qFormat/>
    <w:rsid w:val="00AB6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03E"/>
    <w:pPr>
      <w:spacing w:before="160"/>
      <w:jc w:val="center"/>
    </w:pPr>
    <w:rPr>
      <w:i/>
      <w:iCs/>
      <w:color w:val="404040" w:themeColor="text1" w:themeTint="BF"/>
    </w:rPr>
  </w:style>
  <w:style w:type="character" w:customStyle="1" w:styleId="QuoteChar">
    <w:name w:val="Quote Char"/>
    <w:basedOn w:val="DefaultParagraphFont"/>
    <w:link w:val="Quote"/>
    <w:uiPriority w:val="29"/>
    <w:rsid w:val="00AB603E"/>
    <w:rPr>
      <w:i/>
      <w:iCs/>
      <w:color w:val="404040" w:themeColor="text1" w:themeTint="BF"/>
    </w:rPr>
  </w:style>
  <w:style w:type="paragraph" w:styleId="ListParagraph">
    <w:name w:val="List Paragraph"/>
    <w:basedOn w:val="Normal"/>
    <w:uiPriority w:val="34"/>
    <w:qFormat/>
    <w:rsid w:val="00AB603E"/>
    <w:pPr>
      <w:ind w:left="720"/>
      <w:contextualSpacing/>
    </w:pPr>
  </w:style>
  <w:style w:type="character" w:styleId="IntenseEmphasis">
    <w:name w:val="Intense Emphasis"/>
    <w:basedOn w:val="DefaultParagraphFont"/>
    <w:uiPriority w:val="21"/>
    <w:qFormat/>
    <w:rsid w:val="00AB603E"/>
    <w:rPr>
      <w:i/>
      <w:iCs/>
      <w:color w:val="0F4761" w:themeColor="accent1" w:themeShade="BF"/>
    </w:rPr>
  </w:style>
  <w:style w:type="paragraph" w:styleId="IntenseQuote">
    <w:name w:val="Intense Quote"/>
    <w:basedOn w:val="Normal"/>
    <w:next w:val="Normal"/>
    <w:link w:val="IntenseQuoteChar"/>
    <w:uiPriority w:val="30"/>
    <w:qFormat/>
    <w:rsid w:val="00AB6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03E"/>
    <w:rPr>
      <w:i/>
      <w:iCs/>
      <w:color w:val="0F4761" w:themeColor="accent1" w:themeShade="BF"/>
    </w:rPr>
  </w:style>
  <w:style w:type="character" w:styleId="IntenseReference">
    <w:name w:val="Intense Reference"/>
    <w:basedOn w:val="DefaultParagraphFont"/>
    <w:uiPriority w:val="32"/>
    <w:qFormat/>
    <w:rsid w:val="00AB60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2026-08-12T14:46:00Z</dcterms:created>
  <dcterms:modified xsi:type="dcterms:W3CDTF">2026-08-12T14:51:00Z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2026-08-12T14:47:21Z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c3b381da-e352-4edd-afea-6a5c72d7c85f</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